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connected publishing could help African research travel further</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Digital transformation has become a familiar phrase in scholarly publishing, but the technology itself is not what changes research impact. The real shift comes when publishers move from isolated systems to a connected environment that brings manuscript submission, peer review, production and distribution into one workflow. According to Sabinet’s account of its Online Publishing model, that kind of integration can reduce duplication, ease administrative pressure and allow editorial teams to spend more time on quality rather than on managing disconnected processes.</w:t>
      </w:r>
      <w:r/>
    </w:p>
    <w:p>
      <w:r/>
      <w:r>
        <w:t>The case for connected publishing is stronger because publication alone no longer guarantees visibility. Research now has to be discoverable across search engines, repositories and indexing services, and that depends on more than a final PDF. Industry practice increasingly expects journals and books to be released in multiple digital formats, backed by structured metadata and interoperable production standards. Sabinet argues that PDF, full-text XML and EPUB each serve a distinct purpose: the first supports formal distribution, the second improves machine readability and indexing, and the third expands access across devices.</w:t>
      </w:r>
      <w:r/>
    </w:p>
    <w:p>
      <w:r/>
      <w:r>
        <w:t>Structured metadata sits at the centre of that system. Rather than functioning as an afterthought, it determines whether content can be accurately indexed, linked and retrieved across scholarly platforms. That is why discoverability is increasingly treated as a publishing outcome in its own right, not a separate marketing task. The broader trend is visible in other African digital knowledge initiatives as well: the African Digital Humanities Lab combines events, editorial publishing and community writing on a single platform; Itanile offers a digital publishing route for African authors; and the Buntu Foundation is building pathways to support African researchers and AI talent. Each reflects the same underlying logic: access, infrastructure and visibility matter as much as the content itself.</w:t>
      </w:r>
      <w:r/>
    </w:p>
    <w:p>
      <w:r/>
      <w:r>
        <w:t>For African scholarship, that logic has particular weight. Many publishers still operate with limited resources and fragmented systems, which can make it harder to maintain consistency, preserve quality and extend reach beyond local networks. Sabinet says its approach is designed to address precisely those pressures by combining automation, publishing support and recognised standards within an ecosystem tailored to African publishers. The aim is not to displace editorial judgement, but to give editors and institutions the tools to move research more efficiently from submission to discovery.</w:t>
      </w:r>
      <w:r/>
    </w:p>
    <w:p>
      <w:r/>
      <w:r>
        <w:t>Taken together, these developments point to a broader shift in scholarly communication. Publishing research is only the beginning; the greater challenge is ensuring it remains usable, accessible and visible over time. In that sense, connected publishing is less a technical upgrade than an infrastructure decision. It determines whether African research remains trapped in administrative bottlenecks or is equipped to travel, be found and contribute fully to the global conversation.</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9">
        <w:r>
          <w:rPr>
            <w:color w:val="0000EE"/>
            <w:u w:val="single"/>
          </w:rPr>
          <w:t>[1]</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t xml:space="preserve">, </w:t>
      </w:r>
      <w:hyperlink r:id="rId11">
        <w:r>
          <w:rPr>
            <w:color w:val="0000EE"/>
            <w:u w:val="single"/>
          </w:rPr>
          <w:t>[5]</w:t>
        </w:r>
      </w:hyperlink>
      <w:r>
        <w:t xml:space="preserve">- Paragraph 4: </w:t>
      </w:r>
      <w:hyperlink r:id="rId9">
        <w:r>
          <w:rPr>
            <w:color w:val="0000EE"/>
            <w:u w:val="single"/>
          </w:rPr>
          <w:t>[1]</w:t>
        </w:r>
      </w:hyperlink>
      <w:r>
        <w:t xml:space="preserve">, </w:t>
      </w:r>
      <w:hyperlink r:id="rId11">
        <w:r>
          <w:rPr>
            <w:color w:val="0000EE"/>
            <w:u w:val="single"/>
          </w:rPr>
          <w:t>[5]</w:t>
        </w:r>
      </w:hyperlink>
      <w:r>
        <w:t xml:space="preserve">- Paragraph 5: </w:t>
      </w:r>
      <w:hyperlink r:id="rId9">
        <w:r>
          <w:rPr>
            <w:color w:val="0000EE"/>
            <w:u w:val="single"/>
          </w:rPr>
          <w:t>[1]</w:t>
        </w:r>
      </w:hyperlink>
      <w:r>
        <w:t xml:space="preserve">, </w:t>
      </w:r>
      <w:hyperlink r:id="rId10">
        <w:r>
          <w:rPr>
            <w:color w:val="0000EE"/>
            <w:u w:val="single"/>
          </w:rPr>
          <w:t>[2]</w:t>
        </w:r>
      </w:hyperlink>
      <w:r>
        <w:t xml:space="preserve">, </w:t>
      </w:r>
      <w:hyperlink r:id="rId13">
        <w:r>
          <w:rPr>
            <w:color w:val="0000EE"/>
            <w:u w:val="single"/>
          </w:rPr>
          <w:t>[4]</w:t>
        </w:r>
      </w:hyperlink>
      <w:r>
        <w:t xml:space="preserve">, </w:t>
      </w:r>
      <w:hyperlink r:id="rId11">
        <w:r>
          <w:rPr>
            <w:color w:val="0000EE"/>
            <w:u w:val="single"/>
          </w:rPr>
          <w:t>[5]</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https://www.tech4law.co.za/product-updates/data-providers-product-updates/from-publication-to-impact-a-connected-publishing-ecosystem-for-african-scholarship/</w:t>
        </w:r>
      </w:hyperlink>
      <w:r>
        <w:t xml:space="preserve"> - Please view link - unable to able to access data</w:t>
      </w:r>
      <w:r/>
    </w:p>
    <w:p>
      <w:pPr>
        <w:pStyle w:val="ListNumber"/>
        <w:spacing w:line="240" w:lineRule="auto"/>
        <w:ind w:left="720"/>
      </w:pPr>
      <w:r/>
      <w:hyperlink r:id="rId10">
        <w:r>
          <w:rPr>
            <w:color w:val="0000EE"/>
            <w:u w:val="single"/>
          </w:rPr>
          <w:t>https://www.africandigitalhumanities.ca/</w:t>
        </w:r>
      </w:hyperlink>
      <w:r>
        <w:t xml:space="preserve"> - The African Digital Humanities (DH) Lab is an Africa-led initiative that unites scholars, technologists, and institutions to teach digital humanities tools, publish open research, and foster a continental community of practice. The Lab offers a connected platform for events, editorial publishing, and community writing, built around open tools like Voyant and Spyral. It supports African DH through editorial and publishing services, events and training, and a collaborative environment for scholars across the continent.</w:t>
      </w:r>
      <w:r/>
    </w:p>
    <w:p>
      <w:pPr>
        <w:pStyle w:val="ListNumber"/>
        <w:spacing w:line="240" w:lineRule="auto"/>
        <w:ind w:left="720"/>
      </w:pPr>
      <w:r/>
      <w:hyperlink r:id="rId12">
        <w:r>
          <w:rPr>
            <w:color w:val="0000EE"/>
            <w:u w:val="single"/>
          </w:rPr>
          <w:t>https://itanile.org/</w:t>
        </w:r>
      </w:hyperlink>
      <w:r>
        <w:t xml:space="preserve"> - Itanile is a digital publishing house dedicated to African writers, enabling them to self-publish their books for free and distribute them through the Itanile Reader. The platform offers a straightforward process for authors to publish their work, providing a space for readers to discover and engage with African literature. Itanile focuses on making African stories accessible and promoting the rich literary heritage of the continent.</w:t>
      </w:r>
      <w:r/>
    </w:p>
    <w:p>
      <w:pPr>
        <w:pStyle w:val="ListNumber"/>
        <w:spacing w:line="240" w:lineRule="auto"/>
        <w:ind w:left="720"/>
      </w:pPr>
      <w:r/>
      <w:hyperlink r:id="rId13">
        <w:r>
          <w:rPr>
            <w:color w:val="0000EE"/>
            <w:u w:val="single"/>
          </w:rPr>
          <w:t>https://buntufdn.org/</w:t>
        </w:r>
      </w:hyperlink>
      <w:r>
        <w:t xml:space="preserve"> - The Buntu Foundation is an Africa-first, globally connected ecosystem aimed at nurturing the next generation of researchers and AI leaders in Africa. It offers scholarship coaching, an AI4 Youth Summer School, mentorship, and is developing a fully-funded research hub on the continent. Buntu's mission is to unlock African talent, retain it on the continent, and connect it to the world, providing pathways from high school to senior researcher roles.</w:t>
      </w:r>
      <w:r/>
    </w:p>
    <w:p>
      <w:pPr>
        <w:pStyle w:val="ListNumber"/>
        <w:spacing w:line="240" w:lineRule="auto"/>
        <w:ind w:left="720"/>
      </w:pPr>
      <w:r/>
      <w:hyperlink r:id="rId11">
        <w:r>
          <w:rPr>
            <w:color w:val="0000EE"/>
            <w:u w:val="single"/>
          </w:rPr>
          <w:t>https://sabinet.co.za/connected-publishing-ecosystem/</w:t>
        </w:r>
      </w:hyperlink>
      <w:r>
        <w:t xml:space="preserve"> - Sabinet's Online Publishing provides an integrated publishing ecosystem designed for African publishers, combining intelligent workflows, specialist publishing support, industry-standard outputs, and structured metadata. This approach helps publishers reduce operational complexity, maintain quality, and ensure their research is discoverable, accessible, and valuable long after publication. The platform aims to strengthen the publishing infrastructure around African scholarship, enabling it to participate fully in the global research ecosystem.</w:t>
      </w:r>
      <w:r/>
    </w:p>
    <w:p>
      <w:pPr>
        <w:pStyle w:val="ListNumber"/>
        <w:spacing w:line="240" w:lineRule="auto"/>
        <w:ind w:left="720"/>
      </w:pPr>
      <w:r/>
      <w:hyperlink r:id="rId15">
        <w:r>
          <w:rPr>
            <w:color w:val="0000EE"/>
            <w:u w:val="single"/>
          </w:rPr>
          <w:t>https://clasier.com/</w:t>
        </w:r>
      </w:hyperlink>
      <w:r>
        <w:t xml:space="preserve"> - Clasier is a publishing infrastructure company focused on the next generation of African authors. It builds technology, services, distribution, learning, and community rails to help important ideas become excellent books and lasting influence. Clasier offers a comprehensive ecosystem for authors, including editorial systems, production workflows, author services, and publishing intelligence, aiming to strengthen the African book economy.</w:t>
      </w:r>
      <w:r/>
    </w:p>
    <w:p>
      <w:pPr>
        <w:pStyle w:val="ListNumber"/>
        <w:spacing w:line="240" w:lineRule="auto"/>
        <w:ind w:left="720"/>
      </w:pPr>
      <w:r/>
      <w:hyperlink r:id="rId16">
        <w:r>
          <w:rPr>
            <w:color w:val="0000EE"/>
            <w:u w:val="single"/>
          </w:rPr>
          <w:t>https://seekata.com/</w:t>
        </w:r>
      </w:hyperlink>
      <w:r>
        <w:t xml:space="preserve"> - Seekata is an Africa-first platform designed to help ambitious Africans build better futures through education, employment, entrepreneurship, and digital opportunities. It brings scholarships, jobs, and side hustles into one trusted ecosystem, offering curated and verified listings to assist users in finding and applying for opportunities across the continent.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ech4law.co.za/product-updates/data-providers-product-updates/from-publication-to-impact-a-connected-publishing-ecosystem-for-african-scholarship/" TargetMode="External"/><Relationship Id="rId10" Type="http://schemas.openxmlformats.org/officeDocument/2006/relationships/hyperlink" Target="https://www.africandigitalhumanities.ca/" TargetMode="External"/><Relationship Id="rId11" Type="http://schemas.openxmlformats.org/officeDocument/2006/relationships/hyperlink" Target="https://sabinet.co.za/connected-publishing-ecosystem/" TargetMode="External"/><Relationship Id="rId12" Type="http://schemas.openxmlformats.org/officeDocument/2006/relationships/hyperlink" Target="https://itanile.org/" TargetMode="External"/><Relationship Id="rId13" Type="http://schemas.openxmlformats.org/officeDocument/2006/relationships/hyperlink" Target="https://buntufdn.org/" TargetMode="External"/><Relationship Id="rId14" Type="http://schemas.openxmlformats.org/officeDocument/2006/relationships/hyperlink" Target="https://www.noahwire.com" TargetMode="External"/><Relationship Id="rId15" Type="http://schemas.openxmlformats.org/officeDocument/2006/relationships/hyperlink" Target="https://clasier.com/" TargetMode="External"/><Relationship Id="rId16" Type="http://schemas.openxmlformats.org/officeDocument/2006/relationships/hyperlink" Target="https://seekata.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