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credible AI business case starts with one workflow</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credible AI investment case begins with a specific workflow, not a forecast of organisation-wide transformation. Decision-makers need to know what process would change, who would use the system, what the alternative is, how much the change would cost and what evidence would justify expanding it. Microsoft’s guidance similarly centres assessment on a defined business process, with costs and expected benefits compared across feasible implementation options.</w:t>
      </w:r>
      <w:r/>
    </w:p>
    <w:p>
      <w:r/>
      <w:r>
        <w:t>The comparison should start with a documented picture of how the work is done now. Record representative volumes, completion times, quality and error rates, review and rework, staffing and current costs. Then define the proposed AI-assisted process and a genuine no-AI alternative, which might involve keeping the existing method, changing the process or using current software differently. Microsoft’s guidance on measuring agent value stresses establishing a baseline and linking system use to outcomes; adoption or activity figures alone do not demonstrate that a process has improved.</w:t>
      </w:r>
      <w:r/>
    </w:p>
    <w:p>
      <w:r/>
      <w:r>
        <w:t>Costs should reflect the whole workflow, not just a licence or model charge. Depending on the deployment, the estimate may need to include implementation, integration, data preparation, security and evaluation, employee training, infrastructure, monitoring, support and human review, as well as ongoing usage. Federal Reserve analysis distinguishes the fixed work of adapting business processes from the marginal cost of running a model, while AWS’s cost examples show how supporting services can add to inference charges. Neither a low token price nor an illustrative cloud estimate establishes what a particular organisation will spend.</w:t>
      </w:r>
      <w:r/>
    </w:p>
    <w:p>
      <w:r/>
      <w:r>
        <w:t>Benefits require the same discipline. Measure successful work against agreed quality standards, including the time and expense of checking, correcting or escalating AI-assisted outputs. AWS recommends using cost per outcome as one useful unit-economics measure, but it is not a substitute for calculating overall return. Time saved may create useful capacity without reducing payroll: the business case should explain whether that capacity will avoid recruitment or overtime, enable additional work or produce another measurable financial benefit. Microsoft’s agent-value guidance likewise connects use to the outcome a workflow is intended to achieve.</w:t>
      </w:r>
      <w:r/>
    </w:p>
    <w:p>
      <w:r/>
      <w:r>
        <w:t>A defensible model uses benefits and costs for the same period. Net benefit is the attributable financial value minus the full cost of the AI workflow; ROI is net benefit divided by that cost, expressed as a percentage. Payback should be reported only when recurring net benefits are positive and sufficiently reliable. For longer investments, show the timing of costs and benefits rather than comparing an upfront implementation bill with an unqualified future gain. Federal Reserve analysis also cautions against judging alternatives on token prices alone: usage, task performance and output quality affect the economics of completing useful work.</w:t>
      </w:r>
      <w:r/>
    </w:p>
    <w:p>
      <w:r/>
      <w:r>
        <w:t>Forecasts should make uncertainty visible. Test conservative, expected and optimistic assumptions for adoption, successful task volume, time saved, retries, operating costs, quality and the proportion of released capacity that can actually be realised. Keep alternatives comparable by using the same workflow boundary, period and quality threshold. Microsoft’s framework for evaluating AI solutions supports comparing build, buy and extend options against process requirements, rather than assuming one route will always be cheapest or most effective.</w:t>
      </w:r>
      <w:r/>
    </w:p>
    <w:p>
      <w:r/>
      <w:r>
        <w:t>A pilot should be designed to resolve the assumptions that matter to the funding decision. Set its boundaries, baseline, success criteria, quality limits, measurement responsibilities and full-cost tracking before it begins. Establish in advance what results would warrant scaling, what shortfall could be addressed through revision and what failures would mean stopping. AWS guidance supports tracking cost per outcome over time, while its application-cost documentation illustrates why actual workload and architecture matter; pilot evidence can therefore replace estimates of usage, retries and supporting costs with observed results.</w:t>
      </w:r>
      <w:r/>
    </w:p>
    <w:p>
      <w:r/>
      <w:r>
        <w:t>Risk controls belong in the operating plan and the budget. Review, monitoring and incident response can affect both costs and outcomes, and the controls required will depend on the task and its consequences. NIST’s AI Risk Management Framework Playbook organises adaptable guidance around Govern, Map, Measure and Manage, but its FAQs make clear that it is not a mandatory checklist or a universal sequence. A demonstration or a favourable test result should not be treated as proof that a system is suitable for every live setting.</w:t>
      </w:r>
      <w:r/>
    </w:p>
    <w:p>
      <w:r/>
      <w:r>
        <w:t>The final funding memo should state the decision requested, workflow scope, baseline, alternatives, full costs, measured or assumed benefits and the evidence behind the most influential assumptions. It should separate capacity gains from realised financial savings and include pilot owners, duration, controls and decision thresholds. Microsoft’s guidance offers a structure for assessing costs, benefits and implementation choices; the organisation must still supply local data and establish whether observed outcomes support the investment.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Paragraph 5: </w:t>
      </w:r>
      <w:hyperlink r:id="rId12">
        <w:r>
          <w:rPr>
            <w:color w:val="0000EE"/>
            <w:u w:val="single"/>
          </w:rPr>
          <w:t>[4]</w:t>
        </w:r>
      </w:hyperlink>
      <w:r>
        <w:t xml:space="preserve">- Paragraph 6: </w:t>
      </w:r>
      <w:hyperlink r:id="rId10">
        <w:r>
          <w:rPr>
            <w:color w:val="0000EE"/>
            <w:u w:val="single"/>
          </w:rPr>
          <w:t>[2]</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5">
        <w:r>
          <w:rPr>
            <w:color w:val="0000EE"/>
            <w:u w:val="single"/>
          </w:rPr>
          <w:t>[7]</w:t>
        </w:r>
      </w:hyperlink>
      <w:r>
        <w:t xml:space="preserve">- Paragraph 9: </w:t>
      </w:r>
      <w:hyperlink r:id="rId10">
        <w:r>
          <w:rPr>
            <w:color w:val="0000EE"/>
            <w:u w:val="single"/>
          </w:rPr>
          <w:t>[2]</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https://www.itechguides.com/how-to-build-a-defensible-ai-business-case-for-one-workflow/</w:t>
        </w:r>
      </w:hyperlink>
      <w:r>
        <w:t xml:space="preserve"> - Please view link - unable to able to access data</w:t>
      </w:r>
      <w:r/>
    </w:p>
    <w:p>
      <w:pPr>
        <w:pStyle w:val="ListNumber"/>
        <w:spacing w:line="240" w:lineRule="auto"/>
        <w:ind w:left="720"/>
      </w:pPr>
      <w:r/>
      <w:hyperlink r:id="rId10">
        <w:r>
          <w:rPr>
            <w:color w:val="0000EE"/>
            <w:u w:val="single"/>
          </w:rPr>
          <w:t>https://learn.microsoft.com/en-us/training/modules/evaluate-costs-benefits-ai-powered-business-solution/</w:t>
        </w:r>
      </w:hyperlink>
      <w:r>
        <w:t xml:space="preserve"> - This Microsoft Learn module explains how to assess the costs, benefits and return on investment of an AI-powered business solution. It focuses on making a decision for a defined business process, rather than assuming that adopting AI will automatically create value across an organisation. The module covers how to set ROI criteria, estimate total cost of ownership and compare potential implementation approaches. In particular, it addresses whether an organisation should build a solution, buy one or extend capabilities it already has. These options need to be considered against the requirements of the process and the costs and benefits expected from each route. The module also introduces model routing as a way to select suitable models for different requests while managing performance and expenditure. Its learning objectives include creating a comprehensive ROI analysis and evaluating AI components in the context of business processes. For a business case, this provides a practical framework for comparing alternatives using consistent assumptions and for considering more than licence or model charges alone. The module is training material, not a universal pricing schedule or guarantee of financial results. Organisations still need to establish their own workflow baseline, cost estimates, quality expectations and evidence of realised benefits before deciding whether an investment is justified.</w:t>
      </w:r>
      <w:r/>
    </w:p>
    <w:p>
      <w:pPr>
        <w:pStyle w:val="ListNumber"/>
        <w:spacing w:line="240" w:lineRule="auto"/>
        <w:ind w:left="720"/>
      </w:pPr>
      <w:r/>
      <w:hyperlink r:id="rId11">
        <w:r>
          <w:rPr>
            <w:color w:val="0000EE"/>
            <w:u w:val="single"/>
          </w:rPr>
          <w:t>https://learn.microsoft.com/en-us/microsoft-copilot-studio/guidance/agent-business-value-overview</w:t>
        </w:r>
      </w:hyperlink>
      <w:r>
        <w:t xml:space="preserve"> - Microsoft’s guidance sets out a structured approach to defining and measuring the business value of AI agents. It begins with value discovery: identify the workflow and intended outcome before building, establish a baseline, and plan for licensing and usage. It then describes how to measure impact using relevant quantitative and qualitative indicators, before presenting the results to decision-makers. The central practical point is that activity or adoption alone does not establish business value. A useful evaluation connects use of an agent with measurable outcomes in the process it supports. The guidance offers a measurement framework, metric examples, leading and lagging indicators, and an agent-assisted-hours formula. It also points to use-case blueprints and a metrics reference for more detailed examples. For an AI business case, these recommendations support defining the workflow boundary, choosing measures that reflect the intended outcome and recording a baseline before deployment. They also help distinguish usage figures from evidence of improved performance. The material is designed to help organisations prepare investment decisions and communicate results; it does not establish that every agent will deliver savings or that one metric suits all workflows. Results depend on the task, implementation, adoption, quality controls and how any released capacity is put to productive or financially measurable use.</w:t>
      </w:r>
      <w:r/>
    </w:p>
    <w:p>
      <w:pPr>
        <w:pStyle w:val="ListNumber"/>
        <w:spacing w:line="240" w:lineRule="auto"/>
        <w:ind w:left="720"/>
      </w:pPr>
      <w:r/>
      <w:hyperlink r:id="rId12">
        <w:r>
          <w:rPr>
            <w:color w:val="0000EE"/>
            <w:u w:val="single"/>
          </w:rPr>
          <w:t>https://www.federalreserve.gov/econres/notes/feds-notes/the-ai-buildout-and-the-economy-publicly-available-data-to-assess-ais-impact-20260717.html</w:t>
        </w:r>
      </w:hyperlink>
      <w:r>
        <w:t xml:space="preserve"> - This Federal Reserve note discusses publicly available evidence relevant to assessing AI’s economic impact and the costs of deploying AI in business workflows. It distinguishes between fixed costs of adjustment and marginal inference costs. Adjustment costs arise when an organisation adapts its systems and processes so that AI can perform useful work within a complete workflow; these costs can be difficult to observe and quantify. Inference costs, by contrast, are more directly associated with running a model. The note cautions that a low or declining cost of compute does not, by itself, establish that an AI deployment is economically worthwhile. A meaningful assessment must consider the expense of integration and the quality of the output. It also warns against comparing models solely by token price: a more expensive model per token may use fewer tokens to complete a task, while different output quality can affect the amount of useful work delivered. Posted prices may also differ from the rates available under enterprise contracts. The note therefore supports evaluating total workflow economics rather than relying on a model’s headline usage rate. Its discussion is economic analysis, not a forecast of the return from any specific company’s AI project. A defensible business case still requires local evidence about the process, implementation work, task success, operating costs and financial realisation of any time or throughput improvements.</w:t>
      </w:r>
      <w:r/>
    </w:p>
    <w:p>
      <w:pPr>
        <w:pStyle w:val="ListNumber"/>
        <w:spacing w:line="240" w:lineRule="auto"/>
        <w:ind w:left="720"/>
      </w:pPr>
      <w:r/>
      <w:hyperlink r:id="rId14">
        <w:r>
          <w:rPr>
            <w:color w:val="0000EE"/>
            <w:u w:val="single"/>
          </w:rPr>
          <w:t>https://aws.amazon.com/blogs/aws-cloud-financial-management/calculating-the-roi-of-ai/</w:t>
        </w:r>
      </w:hyperlink>
      <w:r>
        <w:t xml:space="preserve"> - This AWS Cloud Financial Management article describes ways to calculate the return on investment of an AI solution and account for costs beyond the model itself. It presents ROI as a financial comparison that requires identifying both the value produced and the costs incurred. Costs discussed include infrastructure and data-related items, as well as monitoring and dashboard licensing. The article treats cost per outcome as a useful building block for understanding economics: organisations can relate expenditure to an outcome that matters, rather than stopping at the price of a model call. That measure can help compare approaches and highlight whether an implementation is becoming more or less efficient. However, a unit-cost measure is not a complete ROI calculation on its own. A business case also needs to establish whether the outcome is successful, whether it improves on the existing process and whether the resulting benefit can be monetised or otherwise justified. This distinction supports counting quality-controlled outcomes instead of raw outputs, and including review, rework and operational overhead in the cost. AWS presents general guidance, not a guaranteed return or universal cost estimate. Actual economics vary with workload, architecture, model choice, usage, data needs and service prices. Organisations should therefore use their own baseline, measured pilot results and applicable contract rates, and revisit assumptions when workload or pricing changes.</w:t>
      </w:r>
      <w:r/>
    </w:p>
    <w:p>
      <w:pPr>
        <w:pStyle w:val="ListNumber"/>
        <w:spacing w:line="240" w:lineRule="auto"/>
        <w:ind w:left="720"/>
      </w:pPr>
      <w:r/>
      <w:hyperlink r:id="rId13">
        <w:r>
          <w:rPr>
            <w:color w:val="0000EE"/>
            <w:u w:val="single"/>
          </w:rPr>
          <w:t>https://docs.aws.amazon.com/solutions/latest/generative-ai-application-builder-on-aws/cost.html</w:t>
        </w:r>
      </w:hyperlink>
      <w:r>
        <w:t xml:space="preserve"> - This AWS documentation page provides illustrative cost breakdowns for generative AI applications built with the Generative AI Application Builder on AWS. It itemises example expenses across model inference and supporting services, including API Gateway, CloudFront, Lambda, storage, databases and monitoring. The examples show that total application expenditure can include substantially more than input and output tokens. Costs depend on the workload, selected models, configuration and AWS services used; the page expressly presents its figures as examples for estimating a particular workload, not as universal prices. It also notes that costs for inference calls to services outside AWS may not be included, so a complete estimate may need to incorporate external providers. Several scenarios demonstrate how changes in scale, knowledge-base use and architecture can change the monthly total. For an AI business case, this is useful as a checklist of possible cost categories and a reminder to model the actual deployment rather than relying on a single advertised model rate. The figures should not be copied into a forecast without checking the current pricing and matching the assumptions to the proposed system. A pilot can improve the estimate by revealing real request volumes, token use, retries, infrastructure demand and monitoring needs. The page is specific to AWS examples and does not establish the cost of other deployment approaches.</w:t>
      </w:r>
      <w:r/>
    </w:p>
    <w:p>
      <w:pPr>
        <w:pStyle w:val="ListNumber"/>
        <w:spacing w:line="240" w:lineRule="auto"/>
        <w:ind w:left="720"/>
      </w:pPr>
      <w:r/>
      <w:hyperlink r:id="rId15">
        <w:r>
          <w:rPr>
            <w:color w:val="0000EE"/>
            <w:u w:val="single"/>
          </w:rPr>
          <w:t>https://www.nist.gov/itl/ai-risk-management-framework/nist-ai-rmf-playbook-faqs</w:t>
        </w:r>
      </w:hyperlink>
      <w:r>
        <w:t xml:space="preserve"> - NIST’s AI Risk Management Framework Playbook FAQs explain the purpose and flexible status of the Playbook. It is intended to help organisations make the AI Risk Management Framework more usable by offering suggestions for producing or evaluating trustworthy AI systems and incorporating risk and impact into organisational practice. The FAQs clarify that the Playbook is not a one-size-fits-all implementation plan, checklist or ordered sequence of steps. Organisations can select and adapt the suggestions that fit their needs, use case and risk context; they are not expected to implement every suggestion. The material is organised around the Framework’s four functions: Govern, Map, Measure and Manage. This makes it relevant to planning oversight, defining the system and its context, assessing performance and risks, and deciding how to respond to them. For a business case, the guidance supports treating governance, quality review, monitoring and incident response as part of operational planning rather than assuming that a convincing demonstration alone establishes safety. It also reinforces that risk controls should be tailored to the specific application. The Playbook is voluntary guidance, not a legal requirement or proof that a particular system is safe. Organisations should determine which actions are appropriate for their workflow and applicable obligations, and budget for the controls needed to operate the system responsibly.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techguides.com/how-to-build-a-defensible-ai-business-case-for-one-workflow/" TargetMode="External"/><Relationship Id="rId10" Type="http://schemas.openxmlformats.org/officeDocument/2006/relationships/hyperlink" Target="https://learn.microsoft.com/en-us/training/modules/evaluate-costs-benefits-ai-powered-business-solution/" TargetMode="External"/><Relationship Id="rId11" Type="http://schemas.openxmlformats.org/officeDocument/2006/relationships/hyperlink" Target="https://learn.microsoft.com/en-us/microsoft-copilot-studio/guidance/agent-business-value-overview" TargetMode="External"/><Relationship Id="rId12" Type="http://schemas.openxmlformats.org/officeDocument/2006/relationships/hyperlink" Target="https://www.federalreserve.gov/econres/notes/feds-notes/the-ai-buildout-and-the-economy-publicly-available-data-to-assess-ais-impact-20260717.html" TargetMode="External"/><Relationship Id="rId13" Type="http://schemas.openxmlformats.org/officeDocument/2006/relationships/hyperlink" Target="https://docs.aws.amazon.com/solutions/latest/generative-ai-application-builder-on-aws/cost.html" TargetMode="External"/><Relationship Id="rId14" Type="http://schemas.openxmlformats.org/officeDocument/2006/relationships/hyperlink" Target="https://aws.amazon.com/blogs/aws-cloud-financial-management/calculating-the-roi-of-ai/" TargetMode="External"/><Relationship Id="rId15" Type="http://schemas.openxmlformats.org/officeDocument/2006/relationships/hyperlink" Target="https://www.nist.gov/itl/ai-risk-management-framework/nist-ai-rmf-playbook-faq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