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Publishers turn to image provenance to show how AI handles newsroom pictures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Publishers are increasingly using artificial intelligence in the quieter parts of the image chain rather than at the point of creation. In a recent piece for InPublishing's AI special on image workflows, Fotoware chief product officer Janniche Moe argued that newsrooms are most comfortable using AI to recognise faces, places, objects and events so that images can be tagged, described and filed more efficiently. That reflects a broader newsroom pattern: the Reuters Institute’s 2026 media trends report found that back-end automation, including automated metadata, remains one of the most commonly valued AI uses in news organisations.</w:t>
      </w:r>
      <w:r/>
    </w:p>
    <w:p>
      <w:r/>
      <w:r>
        <w:t>The emphasis, however, is shifting from convenience to credibility. Many publishers remain wary of using AI to generate or materially alter editorial images, preferring instead to apply it to classification, routing and archive management. Reuters' own standards underline why: the agency says it does not use generative AI to create or enhance editorial imagery, while allowing approved tools to assist with tasks that do not change the underlying photograph. For visual journalists, the key issue is not merely whether AI can speed up the workflow, but whether its use leaves the image's editorial integrity intact.</w:t>
      </w:r>
      <w:r/>
    </w:p>
    <w:p>
      <w:r/>
      <w:r>
        <w:t>That is why image provenance has become central to the discussion. In practical terms, provenance is the recorded history of a digital image from capture through to publication, including who created it, what edits were made, which tools were used and whether AI played any role. The C2PA standard, which underpins Content Credentials, is designed to make that record tamper-evident through cryptographic hashes and digital signatures. But C2PA's own explainer also stresses its limits: provenance can be incomplete or removed, and a credential alone does not prove that an image is truthful or that it depicts reality as it happened.</w:t>
      </w:r>
      <w:r/>
    </w:p>
    <w:p>
      <w:r/>
      <w:r>
        <w:t>The distinction between provenance and AI detection matters here. Detection systems make probability-based judgements about whether an image may have been generated or manipulated, whereas provenance offers an evidential record of how a file was handled. That makes provenance a more useful tool for publishers that need to explain not just whether an image might be synthetic, but where it came from and what happened to it along the way. The US Office of Research Integrity has made a similar point, noting that credentials can record creation, modification, software and time stamps, while still requiring human judgement because missing or stripped metadata does not prove an image is false.</w:t>
      </w:r>
      <w:r/>
    </w:p>
    <w:p>
      <w:r/>
      <w:r>
        <w:t>Digital asset management systems are becoming the place where those records must live if they are to be useful. According to Moe's article, a DAM should preserve provenance credentials, track edits and workflow actions, document AI involvement and make that information easy for editors to inspect. Microsoft's documentation on provenance disclosure takes a similar line, describing credentials and watermarks as practical signals that can record origin, generation history and whether AI was involved, although support varies by model and scenario. The result is a more transparent workflow in which automation can help newsrooms move faster without obscuring how visual assets were handled.</w:t>
      </w:r>
      <w:r/>
    </w:p>
    <w:p>
      <w:r/>
      <w:r>
        <w:t>That transparency is now doing double duty. It is an operational requirement, because publishers need reliable systems that can route, enrich and audit content at scale, and it is also a trust requirement, because audiences are increasingly sensitive to manipulated imagery and deepfakes. Editors can still make normal adjustments such as cropping, colour correction or resizing, but the record should show what changed, when it changed and which tools were involved. As publishers fold AI more deeply into image management, the prize is not simply efficiency; it is a documented chain of custody that allows them to defend the authenticity of what they publish.</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[3]</w:t>
        </w:r>
      </w:hyperlink>
      <w:r>
        <w:t xml:space="preserve">, </w:t>
      </w:r>
      <w:hyperlink r:id="rId14">
        <w:r>
          <w:rPr>
            <w:color w:val="0000EE"/>
            <w:u w:val="single"/>
          </w:rPr>
          <w:t>[6]</w:t>
        </w:r>
      </w:hyperlink>
      <w:r>
        <w:t xml:space="preserve">- Paragraph 4: </w:t>
      </w:r>
      <w:hyperlink r:id="rId13">
        <w:r>
          <w:rPr>
            <w:color w:val="0000EE"/>
            <w:u w:val="single"/>
          </w:rPr>
          <w:t>[3]</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[3]</w:t>
        </w:r>
      </w:hyperlink>
      <w:r>
        <w:t xml:space="preserve">, </w:t>
      </w:r>
      <w:hyperlink r:id="rId12">
        <w:r>
          <w:rPr>
            <w:color w:val="0000EE"/>
            <w:u w:val="single"/>
          </w:rPr>
          <w:t>[5]</w:t>
        </w:r>
      </w:hyperlink>
      <w:r>
        <w:t xml:space="preserve">, </w:t>
      </w:r>
      <w:hyperlink r:id="rId14">
        <w:r>
          <w:rPr>
            <w:color w:val="0000EE"/>
            <w:u w:val="single"/>
          </w:rPr>
          <w:t>[6]</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https://www.fotoware.com/blog/how-publishers-prove-image-authenticity</w:t>
        </w:r>
      </w:hyperlink>
      <w:r>
        <w:t xml:space="preserve"> - Please view link - unable to able to access data</w:t>
      </w:r>
      <w:r/>
    </w:p>
    <w:p>
      <w:pPr>
        <w:pStyle w:val="ListNumber"/>
        <w:spacing w:line="240" w:lineRule="auto"/>
        <w:ind w:left="720"/>
      </w:pPr>
      <w:r/>
      <w:hyperlink r:id="rId10">
        <w:r>
          <w:rPr>
            <w:color w:val="0000EE"/>
            <w:u w:val="single"/>
          </w:rPr>
          <w:t>https://www.inpublishing.co.uk/articles/ai-in-practice-image-workflows-26983</w:t>
        </w:r>
      </w:hyperlink>
      <w:r>
        <w:t xml:space="preserve"> - Janniche Moe, Fotoware’s chief product officer, discusses how publishers are using AI in image workflows and why they prioritise authenticity. AI can recognise elements in photographs and enrich metadata, while publishers remain cautious about using it to create or alter editorial images. Moe explains how C2PA credentials can record an asset’s history, including edits, and why signatures must remain intact across systems. A digital asset management platform can preserve provenance, document AI’s role, and help editors filter assets by credential validity or AI involvement. The article also recommends transparent practices and coordinated standards across the content ecosystem to support audience trust.</w:t>
      </w:r>
      <w:r/>
    </w:p>
    <w:p>
      <w:pPr>
        <w:pStyle w:val="ListNumber"/>
        <w:spacing w:line="240" w:lineRule="auto"/>
        <w:ind w:left="720"/>
      </w:pPr>
      <w:r/>
      <w:hyperlink r:id="rId13">
        <w:r>
          <w:rPr>
            <w:color w:val="0000EE"/>
            <w:u w:val="single"/>
          </w:rPr>
          <w:t>https://spec.c2pa.org/specifications/specifications/2.4/explainer/Explainer.html</w:t>
        </w:r>
      </w:hyperlink>
      <w:r>
        <w:t xml:space="preserve"> - The C2PA explainer describes Content Credentials as an open standard for recording the provenance and history of digital content. It explains how cryptographic hashes and digital signatures can make recorded information tamper-evident, and how credentials may include actions performed by people, organisations, or AI systems. The document also clarifies important limits: provenance can be incomplete or removed, and a credential cannot by itself establish whether an image depicts something true. Credentials can record edits and connect assets to source materials, while enabling viewers to assess information in light of their trust in the signer. C2PA does not rely on blockchain technology.</w:t>
      </w:r>
      <w:r/>
    </w:p>
    <w:p>
      <w:pPr>
        <w:pStyle w:val="ListNumber"/>
        <w:spacing w:line="240" w:lineRule="auto"/>
        <w:ind w:left="720"/>
      </w:pPr>
      <w:r/>
      <w:hyperlink r:id="rId11">
        <w:r>
          <w:rPr>
            <w:color w:val="0000EE"/>
            <w:u w:val="single"/>
          </w:rPr>
          <w:t>https://reutersinstitute.politics.ox.ac.uk/journalism-media-and-technology-trends-and-predictions-2026</w:t>
        </w:r>
      </w:hyperlink>
      <w:r>
        <w:t xml:space="preserve"> - The Reuters Institute’s 2026 report examines technology trends and newsroom priorities through research with news executives. It reports that back-end automation, including transcription, copy-editing assistance, and automated metadata, remains the most frequently identified important AI use case among respondents. Publishers also use tools for headline generation, alternative text, and other newsroom tasks, though leaders’ assessments of their impact vary. The report places AI adoption within a wider discussion of editorial quality, efficiency, audience relationships, and the continuing responsibilities of news organisations. It supports the claim that practical newsroom AI often focuses on operational and metadata tasks rather than generating editorial imagery.</w:t>
      </w:r>
      <w:r/>
    </w:p>
    <w:p>
      <w:pPr>
        <w:pStyle w:val="ListNumber"/>
        <w:spacing w:line="240" w:lineRule="auto"/>
        <w:ind w:left="720"/>
      </w:pPr>
      <w:r/>
      <w:hyperlink r:id="rId12">
        <w:r>
          <w:rPr>
            <w:color w:val="0000EE"/>
            <w:u w:val="single"/>
          </w:rPr>
          <w:t>https://reutersagency.com/about/standards-values/</w:t>
        </w:r>
      </w:hyperlink>
      <w:r>
        <w:t xml:space="preserve"> - Reuters’ standards explain its approach to artificial intelligence and visual journalism. The organisation says it does not use generative AI to create or enhance editorial imagery, while allowing approved tools to assist with tasks that leave the underlying visuals unchanged, such as describing a scene or preparing captions. Reuters emphasises editorial accountability, transparency, accuracy, and verification, whether or not AI tools are involved. Its guidance also cautions journalists against relying on unverified AI-generated facts and restricts the use of unapproved external tools with editorial material. These policies illustrate why news organisations may adopt AI for workflow support while protecting the authenticity of published photographs.</w:t>
      </w:r>
      <w:r/>
    </w:p>
    <w:p>
      <w:pPr>
        <w:pStyle w:val="ListNumber"/>
        <w:spacing w:line="240" w:lineRule="auto"/>
        <w:ind w:left="720"/>
      </w:pPr>
      <w:r/>
      <w:hyperlink r:id="rId14">
        <w:r>
          <w:rPr>
            <w:color w:val="0000EE"/>
            <w:u w:val="single"/>
          </w:rPr>
          <w:t>https://ori.hhs.gov/content-provenance</w:t>
        </w:r>
      </w:hyperlink>
      <w:r>
        <w:t xml:space="preserve"> - The United States Office of Research Integrity explains content provenance through tools including C2PA Content Credentials. Credentials can record who created or modified a file, when changes occurred, which software or device was used, and whether edits such as cropping or colour adjustments were made. The information is cryptographically signed to make unauthorised alteration detectable. The page also outlines limitations: metadata may be stripped, adoption may be incomplete, and a record of an edit does not establish whether it was appropriate. It notes that missing credentials do not prove an image is inauthentic, so provenance signals should inform review rather than replace expert judgement.</w:t>
      </w:r>
      <w:r/>
    </w:p>
    <w:p>
      <w:pPr>
        <w:pStyle w:val="ListNumber"/>
        <w:spacing w:line="240" w:lineRule="auto"/>
        <w:ind w:left="720"/>
      </w:pPr>
      <w:r/>
      <w:hyperlink r:id="rId15">
        <w:r>
          <w:rPr>
            <w:color w:val="0000EE"/>
            <w:u w:val="single"/>
          </w:rPr>
          <w:t>https://learn.microsoft.com/en-us/azure/foundry/responsible-ai/content-safety/provenance-disclosure</w:t>
        </w:r>
      </w:hyperlink>
      <w:r>
        <w:t xml:space="preserve"> - Microsoft’s documentation describes provenance features for supported AI systems, including C2PA Content Credentials and invisible watermarks. Credentials can attach cryptographically signed metadata recording an asset’s origin and generation history, such as whether AI generated or modified it, which service was involved, and when processing occurred. Recipients can verify whether signed metadata has been altered. Watermarks provide another kind of provenance signal and may remain useful when metadata is unavailable, although specialised tools can be needed to inspect them. The documentation makes clear that support depends on the model and scenario. It provides a practical account of how AI involvement can be documented and checked.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otoware.com/blog/how-publishers-prove-image-authenticity" TargetMode="External"/><Relationship Id="rId10" Type="http://schemas.openxmlformats.org/officeDocument/2006/relationships/hyperlink" Target="https://www.inpublishing.co.uk/articles/ai-in-practice-image-workflows-26983" TargetMode="External"/><Relationship Id="rId11" Type="http://schemas.openxmlformats.org/officeDocument/2006/relationships/hyperlink" Target="https://reutersinstitute.politics.ox.ac.uk/journalism-media-and-technology-trends-and-predictions-2026" TargetMode="External"/><Relationship Id="rId12" Type="http://schemas.openxmlformats.org/officeDocument/2006/relationships/hyperlink" Target="https://reutersagency.com/about/standards-values/" TargetMode="External"/><Relationship Id="rId13" Type="http://schemas.openxmlformats.org/officeDocument/2006/relationships/hyperlink" Target="https://spec.c2pa.org/specifications/specifications/2.4/explainer/Explainer.html" TargetMode="External"/><Relationship Id="rId14" Type="http://schemas.openxmlformats.org/officeDocument/2006/relationships/hyperlink" Target="https://ori.hhs.gov/content-provenance" TargetMode="External"/><Relationship Id="rId15" Type="http://schemas.openxmlformats.org/officeDocument/2006/relationships/hyperlink" Target="https://learn.microsoft.com/en-us/azure/foundry/responsible-ai/content-safety/provenance-disclosure"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