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Legitimate interest survives in GDPR, but behavioural advertising is running out of room</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Legitimate interest sits at the centre of modern European data protection because it is the one lawful basis that allows a company to process personal data without first asking for permission, provided it can justify why the processing is needed and why the individual’s rights do not outweigh that need. Under the GDPR, it is meant to keep ordinary business functions workable, from fraud checks and security monitoring to postal marketing, while still imposing real accountability on the controller. In advertising, however, that flexibility has made it the most disputed legal ground in the regime.</w:t>
      </w:r>
      <w:r/>
    </w:p>
    <w:p>
      <w:r/>
      <w:r>
        <w:t>The legal test is not open-ended. European case law and guidance require a controller to identify a genuine interest, show that the processing is necessary to achieve it, and then carry out a balancing exercise against the rights and freedoms of the person whose data is being used. Regulators have repeatedly stressed that this assessment must be documented before processing starts, usually in the form of a legitimate interest assessment, and that transparency is essential: the privacy notice must say what interest is being pursued. The individual also has a right to object, and in direct marketing that objection right is absolute.</w:t>
      </w:r>
      <w:r/>
    </w:p>
    <w:p>
      <w:r/>
      <w:r>
        <w:t>For advertisers, the key limitation is that legitimate interest is not a substitute for consent everywhere in the stack. It cannot justify setting an advertising cookie on a device, because that is governed separately by the ePrivacy rules on storing or reading information on terminal equipment. Nor does it provide a free pass for cross-site profiling simply because the end goal is commercial. Regulators have consistently read Recital 47 narrowly once behavioural advertising is involved, even though the recital does acknowledge that direct marketing may, in principle, rely on legitimate interest.</w:t>
      </w:r>
      <w:r/>
    </w:p>
    <w:p>
      <w:r/>
      <w:r>
        <w:t>The boundaries of the concept have been shaped by a long line of cases and guidance. The Court of Justice first set out the familiar three-part framework in Rigas satiksme, and later confirmed in a 2024 ruling that a commercial interest can qualify so long as it is lawful, sufficiently defined and not overridden by the data subject’s interests. That same year, the European Data Protection Board restated the test in updated guidance. Earlier case law had already rejected attempts by member states to add extra hurdles, while the Article 29 Working Party had insisted years ago that controllers must not treat legitimate interest as a last resort.</w:t>
      </w:r>
      <w:r/>
    </w:p>
    <w:p>
      <w:r/>
      <w:r>
        <w:t>In practice, the debate has been sharpest in online advertising. IAB Europe’s Transparency and Consent Framework encodes legitimate interest as one of the signals in the consent string used by consent management platforms, but the signal only indicates that a vendor has declared the basis and the user has not objected; it does not mean a regulator has approved the processing. Later revisions to the framework narrowed the use of legitimate interest for some ad-tech purposes, reflecting the broader tightening of the regime. Google’s own implementation has continued to treat certain purposes as flexible, but not those most closely associated with personalised advertising.</w:t>
      </w:r>
      <w:r/>
    </w:p>
    <w:p>
      <w:r/>
      <w:r>
        <w:t>Major enforcement actions show how risky the basis can be when used too broadly. Meta moved behavioural advertising in the EU to legitimate interest after its contractual-necessity argument was rejected, but regulators pushed back. Norway imposed a temporary ban, the European Data Protection Board later extended that restriction across the EEA, and the Court of Justice ruled that personalised advertising could not be justified on legitimate-interest grounds in the absence of consent where the users could not reasonably expect it. LinkedIn has also been fined for relying improperly on legitimate interests for behavioural analysis and targeted advertising, while a Madrid court recently ordered Meta to pay substantial damages to Spanish publishers over the competitive advantage it gained from an unlawful basis.</w:t>
      </w:r>
      <w:r/>
    </w:p>
    <w:p>
      <w:r/>
      <w:r>
        <w:t>Even so, the basis remains available for narrower uses. Basic ad selection, measurement, fraud prevention and some forms of postal marketing are still routinely argued under legitimate interest, and recent guidance suggests the same logic may extend to some AI-related development activities if the assessment is properly done. That wider debate is now live in Brussels, where proposals have sought to clarify whether AI development and operation can rest on this ground, while some jurisdictions outside the EU are moving in different directions. The result is a legal basis that remains indispensable to day-to-day processing, but one whose use in advertising and profiling has become far more constrained than many businesses once assumed.</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w:t>
      </w:r>
      <w:hyperlink r:id="rId13">
        <w:r>
          <w:rPr>
            <w:color w:val="0000EE"/>
            <w:u w:val="single"/>
          </w:rPr>
          <w:t>[7]</w:t>
        </w:r>
      </w:hyperlink>
      <w:r>
        <w:t xml:space="preserve">- Paragraph 3: </w:t>
      </w:r>
      <w:hyperlink r:id="rId9">
        <w:r>
          <w:rPr>
            <w:color w:val="0000EE"/>
            <w:u w:val="single"/>
          </w:rPr>
          <w:t>[1]</w:t>
        </w:r>
      </w:hyperlink>
      <w:r>
        <w:t xml:space="preserve">, </w:t>
      </w:r>
      <w:hyperlink r:id="rId11">
        <w:r>
          <w:rPr>
            <w:color w:val="0000EE"/>
            <w:u w:val="single"/>
          </w:rPr>
          <w:t>[4]</w:t>
        </w:r>
      </w:hyperlink>
      <w:r>
        <w:t xml:space="preserve">- Paragraph 4: </w:t>
      </w:r>
      <w:hyperlink r:id="rId9">
        <w:r>
          <w:rPr>
            <w:color w:val="0000EE"/>
            <w:u w:val="single"/>
          </w:rPr>
          <w:t>[1]</w:t>
        </w:r>
      </w:hyperlink>
      <w:r>
        <w:t xml:space="preserve">, </w:t>
      </w:r>
      <w:hyperlink r:id="rId12">
        <w:r>
          <w:rPr>
            <w:color w:val="0000EE"/>
            <w:u w:val="single"/>
          </w:rPr>
          <w:t>[3]</w:t>
        </w:r>
      </w:hyperlink>
      <w:r>
        <w:t xml:space="preserve">, </w:t>
      </w:r>
      <w:hyperlink r:id="rId14">
        <w:r>
          <w:rPr>
            <w:color w:val="0000EE"/>
            <w:u w:val="single"/>
          </w:rPr>
          <w:t>[6]</w:t>
        </w:r>
      </w:hyperlink>
      <w:r>
        <w:t xml:space="preserve">- Paragraph 5: </w:t>
      </w:r>
      <w:hyperlink r:id="rId9">
        <w:r>
          <w:rPr>
            <w:color w:val="0000EE"/>
            <w:u w:val="single"/>
          </w:rPr>
          <w:t>[1]</w:t>
        </w:r>
      </w:hyperlink>
      <w:r>
        <w:t xml:space="preserve">- Paragraph 6: </w:t>
      </w:r>
      <w:hyperlink r:id="rId9">
        <w:r>
          <w:rPr>
            <w:color w:val="0000EE"/>
            <w:u w:val="single"/>
          </w:rPr>
          <w:t>[1]</w:t>
        </w:r>
      </w:hyperlink>
      <w:r>
        <w:t xml:space="preserve">, </w:t>
      </w:r>
      <w:hyperlink r:id="rId15">
        <w:r>
          <w:rPr>
            <w:color w:val="0000EE"/>
            <w:u w:val="single"/>
          </w:rPr>
          <w:t>[5]</w:t>
        </w:r>
      </w:hyperlink>
      <w:r>
        <w:t xml:space="preserve">, </w:t>
      </w:r>
      <w:hyperlink r:id="rId14">
        <w:r>
          <w:rPr>
            <w:color w:val="0000EE"/>
            <w:u w:val="single"/>
          </w:rPr>
          <w:t>[6]</w:t>
        </w:r>
      </w:hyperlink>
      <w:r>
        <w:t xml:space="preserve">- Paragraph 7: </w:t>
      </w:r>
      <w:hyperlink r:id="rId9">
        <w:r>
          <w:rPr>
            <w:color w:val="0000EE"/>
            <w:u w:val="single"/>
          </w:rPr>
          <w:t>[1]</w:t>
        </w:r>
      </w:hyperlink>
      <w:r>
        <w:t xml:space="preserve">, </w:t>
      </w:r>
      <w:hyperlink r:id="rId12">
        <w:r>
          <w:rPr>
            <w:color w:val="0000EE"/>
            <w:u w:val="single"/>
          </w:rPr>
          <w:t>[3]</w:t>
        </w:r>
      </w:hyperlink>
      <w:r>
        <w:t xml:space="preserve">, </w:t>
      </w:r>
      <w:hyperlink r:id="rId15">
        <w:r>
          <w:rPr>
            <w:color w:val="0000EE"/>
            <w:u w:val="single"/>
          </w:rPr>
          <w:t>[5]</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https://ppc.land/legitimate-interest/</w:t>
        </w:r>
      </w:hyperlink>
      <w:r>
        <w:t xml:space="preserve"> - Please view link - unable to able to access data</w:t>
      </w:r>
      <w:r/>
    </w:p>
    <w:p>
      <w:pPr>
        <w:pStyle w:val="ListNumber"/>
        <w:spacing w:line="240" w:lineRule="auto"/>
        <w:ind w:left="720"/>
      </w:pPr>
      <w:r/>
      <w:hyperlink r:id="rId10">
        <w:r>
          <w:rPr>
            <w:color w:val="0000EE"/>
            <w:u w:val="single"/>
          </w:rPr>
          <w:t>https://legalclarity.org/what-does-legitimate-interest-mean-under-gdpr/</w:t>
        </w:r>
      </w:hyperlink>
      <w:r>
        <w:t xml:space="preserve"> - This article provides an in-depth explanation of the 'legitimate interest' legal basis under the General Data Protection Regulation (GDPR). It outlines the three-part test required for processing personal data without consent: identifying a legitimate interest, ensuring the processing is necessary, and balancing the interest against the individual's rights and freedoms. The piece also discusses common uses of legitimate interest, such as direct marketing and fraud prevention, and highlights the importance of conducting a Legitimate Interest Assessment (LIA) to ensure compliance with GDPR requirements.</w:t>
      </w:r>
      <w:r/>
    </w:p>
    <w:p>
      <w:pPr>
        <w:pStyle w:val="ListNumber"/>
        <w:spacing w:line="240" w:lineRule="auto"/>
        <w:ind w:left="720"/>
      </w:pPr>
      <w:r/>
      <w:hyperlink r:id="rId12">
        <w:r>
          <w:rPr>
            <w:color w:val="0000EE"/>
            <w:u w:val="single"/>
          </w:rPr>
          <w:t>https://overview.legal/topics/legitimate-interest</w:t>
        </w:r>
      </w:hyperlink>
      <w:r>
        <w:t xml:space="preserve"> - This resource offers a comprehensive overview of the 'legitimate interest' legal basis for processing personal data under the GDPR. It details the conditions under which legitimate interest can be invoked, emphasizing the necessity of a documented balancing test to assess the impact on individuals' rights. The article also explores relevant case law, enforcement actions, and guidance related to legitimate interest, providing a thorough understanding of its application and limitations within data protection law.</w:t>
      </w:r>
      <w:r/>
    </w:p>
    <w:p>
      <w:pPr>
        <w:pStyle w:val="ListNumber"/>
        <w:spacing w:line="240" w:lineRule="auto"/>
        <w:ind w:left="720"/>
      </w:pPr>
      <w:r/>
      <w:hyperlink r:id="rId11">
        <w:r>
          <w:rPr>
            <w:color w:val="0000EE"/>
            <w:u w:val="single"/>
          </w:rPr>
          <w:t>https://www.cisscan.com/articles/what-is-legitimate-interest</w:t>
        </w:r>
      </w:hyperlink>
      <w:r>
        <w:t xml:space="preserve"> - This article explains the concept of 'legitimate interest' as one of the six lawful bases for processing personal data under the GDPR. It outlines the three-part test required to establish legitimate interest, including the necessity of the processing and the balancing of interests. The piece also discusses common applications of legitimate interest, such as direct marketing and fraud prevention, and highlights the importance of transparency and documentation in ensuring compliance with GDPR provisions.</w:t>
      </w:r>
      <w:r/>
    </w:p>
    <w:p>
      <w:pPr>
        <w:pStyle w:val="ListNumber"/>
        <w:spacing w:line="240" w:lineRule="auto"/>
        <w:ind w:left="720"/>
      </w:pPr>
      <w:r/>
      <w:hyperlink r:id="rId15">
        <w:r>
          <w:rPr>
            <w:color w:val="0000EE"/>
            <w:u w:val="single"/>
          </w:rPr>
          <w:t>https://luxgap.com/articles/article-6-rgpd-lecon-intesa-isybank-interet-vs-consentement?lang=en</w:t>
        </w:r>
      </w:hyperlink>
      <w:r>
        <w:t xml:space="preserve"> - This article examines a significant case involving the Italian Data Protection Authority's fine of €17.6 million against Intesa Sanpaolo for transferring approximately 2.4 million customers to Isybank without a valid legal basis. The case underscores the importance of obtaining valid consent or demonstrating strict necessity under Article 6 of the GDPR when processing personal data, highlighting that legitimate interest cannot replace these requirements.</w:t>
      </w:r>
      <w:r/>
    </w:p>
    <w:p>
      <w:pPr>
        <w:pStyle w:val="ListNumber"/>
        <w:spacing w:line="240" w:lineRule="auto"/>
        <w:ind w:left="720"/>
      </w:pPr>
      <w:r/>
      <w:hyperlink r:id="rId14">
        <w:r>
          <w:rPr>
            <w:color w:val="0000EE"/>
            <w:u w:val="single"/>
          </w:rPr>
          <w:t>https://www.fedma.org/2024/10/04/cjeu-commercial-interests-can-qualify-as-legitimate-interests-under-the-gdpr/</w:t>
        </w:r>
      </w:hyperlink>
      <w:r>
        <w:t xml:space="preserve"> - This article discusses the Court of Justice of the European Union's ruling in Case C-621/22, which clarified that commercial interests can qualify as legitimate interests under the GDPR. The ruling provides legal certainty for businesses, especially small and medium-sized enterprises, regarding the use of legitimate interest as a lawful basis for data processing activities, including direct marketing.</w:t>
      </w:r>
      <w:r/>
    </w:p>
    <w:p>
      <w:pPr>
        <w:pStyle w:val="ListNumber"/>
        <w:spacing w:line="240" w:lineRule="auto"/>
        <w:ind w:left="720"/>
      </w:pPr>
      <w:r/>
      <w:hyperlink r:id="rId13">
        <w:r>
          <w:rPr>
            <w:color w:val="0000EE"/>
            <w:u w:val="single"/>
          </w:rPr>
          <w:t>https://www.gdprsummary.com/legitimate-interest-assessment-everything-you-need-to-know/</w:t>
        </w:r>
      </w:hyperlink>
      <w:r>
        <w:t xml:space="preserve"> - This resource provides a comprehensive guide to conducting a Legitimate Interest Assessment (LIA) under the GDPR. It outlines the steps involved in the balancing exercise required to establish legitimate interest, emphasizing the need to document the assessment and consider individuals' rights and interests. The article also discusses common pitfalls and best practices to ensure compliance with GDPR requirements when relying on legitimate interest as a lawful basis for data processing.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pc.land/legitimate-interest/" TargetMode="External"/><Relationship Id="rId10" Type="http://schemas.openxmlformats.org/officeDocument/2006/relationships/hyperlink" Target="https://legalclarity.org/what-does-legitimate-interest-mean-under-gdpr/" TargetMode="External"/><Relationship Id="rId11" Type="http://schemas.openxmlformats.org/officeDocument/2006/relationships/hyperlink" Target="https://www.cisscan.com/articles/what-is-legitimate-interest" TargetMode="External"/><Relationship Id="rId12" Type="http://schemas.openxmlformats.org/officeDocument/2006/relationships/hyperlink" Target="https://overview.legal/topics/legitimate-interest" TargetMode="External"/><Relationship Id="rId13" Type="http://schemas.openxmlformats.org/officeDocument/2006/relationships/hyperlink" Target="https://www.gdprsummary.com/legitimate-interest-assessment-everything-you-need-to-know/" TargetMode="External"/><Relationship Id="rId14" Type="http://schemas.openxmlformats.org/officeDocument/2006/relationships/hyperlink" Target="https://www.fedma.org/2024/10/04/cjeu-commercial-interests-can-qualify-as-legitimate-interests-under-the-gdpr/" TargetMode="External"/><Relationship Id="rId15" Type="http://schemas.openxmlformats.org/officeDocument/2006/relationships/hyperlink" Target="https://luxgap.com/articles/article-6-rgpd-lecon-intesa-isybank-interet-vs-consentement?lang=en"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