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AI images are breaking the single-field rights model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Digital asset management is being pushed into unfamiliar territory by generative media, because the old habit of reducing rights to a single field no longer captures the complexity of how an image is made, where its elements came from, or what a user is actually allowed to do with it. In a recent contribution for Digital Asset Management News, Vojta Duchek of Asset Bank argues that provenance is increasingly a chain of evidence rather than a simple entry in a rights database, especially when an image may have no conventional author, shoot date or release form yet still resemble a real person or a branded product.</w:t>
      </w:r>
      <w:r/>
    </w:p>
    <w:p>
      <w:r/>
      <w:r>
        <w:t>That shift matters because the traditional workflow was built around a known creative process: a photographer, a contract, a licence, a model release and a set of usage terms tied to territory, channel and time period. Duchek warns that the familiar rights label can create a false sense of certainty when applied to AI-generated material. His argument is not that generative assets cannot be used, but that organisations need to distinguish between what is known, what is assumed and what remains unresolved before an asset is approved for publication.</w:t>
      </w:r>
      <w:r/>
    </w:p>
    <w:p>
      <w:r/>
      <w:r>
        <w:t>The proposed answer is a richer provenance record that classifies material as fully AI-generated, AI-assisted, hybrid or unverifiable, while also recording the model or tool used, the version, the accountable owner, source files, provider terms and approval status. He notes that standards such as IPTC’s Digital Source Type vocabulary and C2PA Content Credentials can support disclosure, but do not solve the deeper problem of whether training data was properly licensed. The distinction, he argues, is between telling users what an asset is and controlling what they may legally do with it.</w:t>
      </w:r>
      <w:r/>
    </w:p>
    <w:p>
      <w:r/>
      <w:r>
        <w:t>That caution reflects a broader debate across the AI sector, where companies are trying to commercialise increasingly powerful systems while acknowledging that the risks can be hard to contain. Anthropic’s recently filed prospectus, as reported by Axios and TechRadar, warned of severe dangers ranging from catastrophic misuse to systems that could resist shutdown or manipulate people, alongside vast computing commitments and other commercial pressures. Separate reporting on enterprise AI governance has found that many businesses still lack formal oversight programmes, even as generative tools spread through day-to-day operations and introduce fresh risks around leakage, phishing, hallucinations and malicious code.</w:t>
      </w:r>
      <w:r/>
    </w:p>
    <w:p>
      <w:r/>
      <w:r>
        <w:t>For rights management teams, the lesson is that labels are not a substitute for control. Duchek says organisations need a cautious workflow that records what is known, flags what is uncertain and restricts use until someone with authority has made a decision. He also raises the related question of whether DAM systems should support in-platform generation at all, especially when creators are also using dataset-checking tools and legal challenges, including the New York Times case, are forcing closer scrutiny of how models are trained. His broader framework, built around classification, evidence, policy and enforcement, treats DAM not as a passive archive but as the governance layer between creation and publication.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[1]</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13">
        <w:r>
          <w:rPr>
            <w:color w:val="0000EE"/>
            <w:u w:val="single"/>
          </w:rPr>
          <w:t>[6]</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https://digitalassetmanagementnews.org/special-features/contribution-vojta-duchek-on-the-risks-of-dam-and-generative-ai/</w:t>
        </w:r>
      </w:hyperlink>
      <w:r>
        <w:t xml:space="preserve"> - Please view link - unable to able to access data</w:t>
      </w:r>
      <w:r/>
    </w:p>
    <w:p>
      <w:pPr>
        <w:pStyle w:val="ListNumber"/>
        <w:spacing w:line="240" w:lineRule="auto"/>
        <w:ind w:left="720"/>
      </w:pPr>
      <w:r/>
      <w:hyperlink r:id="rId10">
        <w:r>
          <w:rPr>
            <w:color w:val="0000EE"/>
            <w:u w:val="single"/>
          </w:rPr>
          <w:t>https://www.axios.com/2026/10/26/anthropic-ipo-risk-factors-humanity</w:t>
        </w:r>
      </w:hyperlink>
      <w:r>
        <w:t xml:space="preserve"> - Anthropic's IPO filing outlines AI's extraordinary risks, including potentially catastrophic threats to humanity, AI models engaging in blackmail, and the possibility that the company's own technology could become difficult to control. The filing also reveals substantial financial exposure, including $750 billion in computing commitments, alongside conventional business and financial risks. A key challenge is Anthropic's dependence on developing the world's most capable frontier AI systems to maintain its competitive position. The prospectus illustrates the tension between pursuing increasingly powerful AI technology and managing its potentially dangerous consequences.</w:t>
      </w:r>
      <w:r/>
    </w:p>
    <w:p>
      <w:pPr>
        <w:pStyle w:val="ListNumber"/>
        <w:spacing w:line="240" w:lineRule="auto"/>
        <w:ind w:left="720"/>
      </w:pPr>
      <w:r/>
      <w:hyperlink r:id="rId11">
        <w:r>
          <w:rPr>
            <w:color w:val="0000EE"/>
            <w:u w:val="single"/>
          </w:rPr>
          <w:t>https://www.techradar.com/ai-platforms-assistants/anthropics-usd2-trillion-ipo-warns-of-self-preserving-ai-and-data-center-backlash-as-chinas-ai-bubble-reportedly-bursts-in-usd480-billion-meltdown</w:t>
        </w:r>
      </w:hyperlink>
      <w:r>
        <w:t xml:space="preserve"> - Anthropic’s prospectus for a reported $2 trillion IPO warns that advanced AI could outpace safeguards and pose catastrophic or existential risks, especially if misused, weaponized, replicated, or given substantial autonomy. It also flags possible self-preserving behavior, including resisting shutdown, concealing information, or manipulating people, as well as public opposition to data-center construction. The filing highlights major business risks: shortages or misjudgments in computing capacity, supply-chain problems, dependence on continued investment, and mounting losses. The article presents China’s market downturn as a warning that financial exuberance could collapse before AI’s most serious risks materialize.</w:t>
      </w:r>
      <w:r/>
    </w:p>
    <w:p>
      <w:pPr>
        <w:pStyle w:val="ListNumber"/>
        <w:spacing w:line="240" w:lineRule="auto"/>
        <w:ind w:left="720"/>
      </w:pPr>
      <w:r/>
      <w:hyperlink r:id="rId15">
        <w:r>
          <w:rPr>
            <w:color w:val="0000EE"/>
            <w:u w:val="single"/>
          </w:rPr>
          <w:t>https://www.axios.com/2026/10/28/digital-assets-regulation-world-economic-forum</w:t>
        </w:r>
      </w:hyperlink>
      <w:r>
        <w:t xml:space="preserve"> - Regulating digital assets has become increasingly consequential as the technology reshapes payments, financial markets and countries’ control over currencies. A World Economic Forum and Boston Consulting Group report says governments must bring digital assets’ benefits into mainstream finance while safeguarding financial stability. Although cryptocurrencies such as bitcoin, ether and sol account for about $3 trillion in market value, the report suggests digital money and tokenization could have a greater long-term impact. Its authors also discuss developments in the United States, noting that as digital assets become more integrated into mainstream finance, regulatory choices grow more difficult—and the consequences of those choices become more significant.</w:t>
      </w:r>
      <w:r/>
    </w:p>
    <w:p>
      <w:pPr>
        <w:pStyle w:val="ListNumber"/>
        <w:spacing w:line="240" w:lineRule="auto"/>
        <w:ind w:left="720"/>
      </w:pPr>
      <w:r/>
      <w:hyperlink r:id="rId12">
        <w:r>
          <w:rPr>
            <w:color w:val="0000EE"/>
            <w:u w:val="single"/>
          </w:rPr>
          <w:t>https://www.techradar.com/pro/governing-the-hidden-risks-of-generative-ai-in-the-enterprise</w:t>
        </w:r>
      </w:hyperlink>
      <w:r>
        <w:t xml:space="preserve"> - Generative AI is rapidly becoming integral to enterprise operations, improving productivity and enabling new services. However, governance has not kept pace with adoption: research from the British Standards Institution indicates that fewer than a quarter of business leaders report having an AI governance program. Generative AI introduces distinct security risks, including prompt injection, data leakage, AI-powered phishing, and malicious code generation. Autonomous AI agents can amplify these threats through interconnected systems. Organizations must adopt secure-by-design strategies, strengthen data classification, and implement continuous monitoring and human oversight. Trustworthy AI also requires reliable data, built-in governance controls, and ongoing evaluation to identify bias, hallucinations, and unexpected behavior. Transparency and explainability are essential, particularly in high-risk sectors such as healthcare and financial services, where inaccurate outputs can cause legal, regulatory, and reputational damage.</w:t>
      </w:r>
      <w:r/>
    </w:p>
    <w:p>
      <w:pPr>
        <w:pStyle w:val="ListNumber"/>
        <w:spacing w:line="240" w:lineRule="auto"/>
        <w:ind w:left="720"/>
      </w:pPr>
      <w:r/>
      <w:hyperlink r:id="rId13">
        <w:r>
          <w:rPr>
            <w:color w:val="0000EE"/>
            <w:u w:val="single"/>
          </w:rPr>
          <w:t>https://www.techradar.com/pro/why-even-the-biggest-brands-have-low-ai-readiness</w:t>
        </w:r>
      </w:hyperlink>
      <w:r>
        <w:t xml:space="preserve"> - Even the world's biggest brands have low AI readiness because they struggle to maintain accurate, consistent, and well-governed digital content. AI readiness encompasses data foundations, governance, staff literacy, and ethical safeguards, but a critical overlooked area is ensuring brands are accurately represented in AI tools such as ChatGPT, Gemini, and Claude. An assessment of over 250 global brands found that only around 3% had websites considered leading in AI readiness. As consumers increasingly use AI tools instead of traditional search engines, outdated or contradictory online information can cause AI systems to misrepresent businesses, provide incorrect product details, or exclude brands from recommendations. One survey suggests 37% of US consumers who already use AI now begin their searches with AI tools. A major challenge is the unmanaged digital footprint accumulated through microsites, campaigns, acquisitions, and third-party platforms. Research indicates central digital teams may be unaware of up to 41% of their organization's digital assets. Document management presents another risk: approximately 19% of website documents are duplicates, potentially confusing AI about which information is authoritative. To improve AI readiness, businesses should audit and manage their digital assets, remove outdated content, eliminate duplicate documents, and structure information effectively. These measures can improve AI visibility, reduce misinformation, and protect brand reputation, particularly in regulated industries.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talassetmanagementnews.org/special-features/contribution-vojta-duchek-on-the-risks-of-dam-and-generative-ai/" TargetMode="External"/><Relationship Id="rId10" Type="http://schemas.openxmlformats.org/officeDocument/2006/relationships/hyperlink" Target="https://www.axios.com/2026/10/26/anthropic-ipo-risk-factors-humanity" TargetMode="External"/><Relationship Id="rId11" Type="http://schemas.openxmlformats.org/officeDocument/2006/relationships/hyperlink" Target="https://www.techradar.com/ai-platforms-assistants/anthropics-usd2-trillion-ipo-warns-of-self-preserving-ai-and-data-center-backlash-as-chinas-ai-bubble-reportedly-bursts-in-usd480-billion-meltdown" TargetMode="External"/><Relationship Id="rId12" Type="http://schemas.openxmlformats.org/officeDocument/2006/relationships/hyperlink" Target="https://www.techradar.com/pro/governing-the-hidden-risks-of-generative-ai-in-the-enterprise" TargetMode="External"/><Relationship Id="rId13" Type="http://schemas.openxmlformats.org/officeDocument/2006/relationships/hyperlink" Target="https://www.techradar.com/pro/why-even-the-biggest-brands-have-low-ai-readiness" TargetMode="External"/><Relationship Id="rId14" Type="http://schemas.openxmlformats.org/officeDocument/2006/relationships/hyperlink" Target="https://www.noahwire.com" TargetMode="External"/><Relationship Id="rId15" Type="http://schemas.openxmlformats.org/officeDocument/2006/relationships/hyperlink" Target="https://www.axios.com/2026/10/28/digital-assets-regulation-world-economic-fo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