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Scholarly publishers race to govern AI as use outpaces readiness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is now embedded in parts of scholarly publishing, but many organisations have yet to establish the controls needed to use it with confidence. The Society for Scholarly Publishing’s 2026 AI Pulse Check, based on responses from 563 people across scholarly communication, found that use was widespread while preparedness remained limited. Respondents identified ethical and legal questions, data privacy and security, and shortages of expertise and staff capacity as leading obstacles, according to the report.</w:t>
      </w:r>
      <w:r/>
    </w:p>
    <w:p>
      <w:r/>
      <w:r>
        <w:t>That gap matters in an industry handling unpublished research, confidential reviewer feedback and editorial communications. In an interview published by The Scholarly Kitchen, Gregory Simmons argued that publishers face a dual challenge: finding ways for AI to ease pressure on staff while ensuring sensitive information and consequential decisions remain protected. The practical task, he said, is not simply to set limits, but to give people approved ways to do their work within them.</w:t>
      </w:r>
      <w:r/>
    </w:p>
    <w:p>
      <w:r/>
      <w:r>
        <w:t>Guidance from the International Committee of Medical Journal Editors makes confidentiality a particular concern in peer review. Its recommendations warn against placing submitted manuscripts into AI systems unless confidentiality can be assured or authors have given permission. The Committee also says human authors remain responsible for their work and should disclose AI assistance. The Committee on Publication Ethics similarly states that AI cannot take authorship or accountability, while the STM Association proposes a classification to help publishers distinguish and describe different kinds of AI support.</w:t>
      </w:r>
      <w:r/>
    </w:p>
    <w:p>
      <w:r/>
      <w:r>
        <w:t>For publishers, those principles need to shape day-to-day processes. Simmons’s approach, as described by The Scholarly Kitchen, separates tasks AI may assist with from outputs requiring human checking and decisions that must remain with an accountable person. A tool might flag unusual citation patterns, for example, but an editor must assess their significance and decide what action is justified. This distinction is especially important where judgements concern research quality, ethics or publication.</w:t>
      </w:r>
      <w:r/>
    </w:p>
    <w:p>
      <w:r/>
      <w:r>
        <w:t>The risks are not limited to inappropriate handling of confidential material. Publishers are also contending with paper mills, fabricated references and manipulated images, among other threats to research integrity. Technology can contribute to such problems, but it can also help identify warning signs. STM’s Integrity Hub, for instance, offers shared screening infrastructure designed to detect patterns associated with paper mills and other potential breaches. Such systems can support scrutiny, but they do not replace human investigation or decision-making.</w:t>
      </w:r>
      <w:r/>
    </w:p>
    <w:p>
      <w:r/>
      <w:r>
        <w:t>Simmons recommends that organisations begin by identifying a genuine problem, then assess whether AI is suitable before choosing a tool. Governance should be built into the resulting workflow through permissions, information safeguards, privacy and security measures, monitoring and audit trails. The aim is to give staff useful options within a managed environment, rather than leaving individuals to select tools without organisational oversight.</w:t>
      </w:r>
      <w:r/>
    </w:p>
    <w:p>
      <w:r/>
      <w:r>
        <w:t>Readiness, in this view, is about more than acquiring technology. The Society for Scholarly Publishing’s survey found that organisations see potential in routine-task automation, integrity checks and improved access to content, while also worrying about unreliable submissions, undisclosed AI use and diminished trust. Publishers can build experience through lower-risk work, such as event preparation or internal knowledge searches, then assess what has worked before moving towards more sensitive applications.</w:t>
      </w:r>
      <w:r/>
    </w:p>
    <w:p>
      <w:r/>
      <w:r>
        <w:t>A durable approach also requires staff to learn from experiments and revise controls as tools change. Simmons’s advice is to identify useful work, judge the sensitivity of the information involved, provide approved systems, define when human review is required and measure outcomes. The survey’s findings suggest why that discipline matters: AI use is advancing, but organisational confidence and capability have not kept pace.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[2]</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Paragraph 7: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https://scholarlykitchen.sspnet.org/2026/11/04/from-ai-adoption-to-ai-practice-building-governed-ai-in-scholarly-publishing/</w:t>
        </w:r>
      </w:hyperlink>
      <w:r>
        <w:t xml:space="preserve"> - Please view link - unable to able to access data</w:t>
      </w:r>
      <w:r/>
    </w:p>
    <w:p>
      <w:pPr>
        <w:pStyle w:val="ListNumber"/>
        <w:spacing w:line="240" w:lineRule="auto"/>
        <w:ind w:left="720"/>
      </w:pPr>
      <w:r/>
      <w:hyperlink r:id="rId9">
        <w:r>
          <w:rPr>
            <w:color w:val="0000EE"/>
            <w:u w:val="single"/>
          </w:rPr>
          <w:t>https://scholarlykitchen.sspnet.org/2026/11/04/from-ai-adoption-to-ai-practice-building-governed-ai-in-scholarly-publishing/</w:t>
        </w:r>
      </w:hyperlink>
      <w:r>
        <w:t xml:space="preserve"> - This interview explores how scholarly publishers can move from experimenting with artificial intelligence to using it as a governed part of everyday work. Ashutosh Ghildiyal speaks with Gregory Simmons about the tension between AI’s potential to ease heavy workloads and publishers’ duty to protect unpublished manuscripts, reviewer reports, editorial correspondence, and other sensitive information. The central argument is that policies alone are not enough: staff also need approved tools, clear permissions, practical alternatives, and guidance on when human review is required. The authors distinguish AI assistance from decisions that must remain with people, particularly judgements about significance, ethics, quality, and publication. They recommend building governance into workflows through information controls, privacy and security measures, monitoring, audit trails, and named accountability. The discussion also considers research-integrity risks—including paper mills, fabricated references, and image manipulation—and the use of screening tools to identify concerns. AI readiness, the article argues, is broader than technology: it depends on purpose, human judgement, editorial health, operational capability, organisational learning, governance, and trust. Its practical advice is to identify worthwhile tasks, assess information sensitivity and risk, provide sanctioned tools, specify human decision rights, and evaluate results so controls can improve over time.</w:t>
      </w:r>
      <w:r/>
    </w:p>
    <w:p>
      <w:pPr>
        <w:pStyle w:val="ListNumber"/>
        <w:spacing w:line="240" w:lineRule="auto"/>
        <w:ind w:left="720"/>
      </w:pPr>
      <w:r/>
      <w:hyperlink r:id="rId10">
        <w:r>
          <w:rPr>
            <w:color w:val="0000EE"/>
            <w:u w:val="single"/>
          </w:rPr>
          <w:t>https://scholarlykitchen.sspnet.org/2026/01/09/ai-in-scholarly-publishing-ssp-pulse-check-report/</w:t>
        </w:r>
      </w:hyperlink>
      <w:r>
        <w:t xml:space="preserve"> - This report presents results from the Society for Scholarly Publishing’s first AI Pulse Check, a survey of 563 people working across scholarly communication. It examines how organisations are using AI, how prepared they feel, and what they regard as its risks and opportunities. Adoption is widespread but uneven: many respondents report active uses, especially content creation or summarisation, plagiarism and research-integrity checks, accessibility, translation, and content discovery. Other applications include marketing, analytics, reviewer matching, and metadata work. Organisational attitudes are mostly cautious rather than resistant or unreservedly enthusiastic. Preparedness lags behind use: only a small proportion say their organisation is fully prepared, while many feel only moderately or slightly prepared. The principal barriers are ethical or legal concerns, data privacy and security, and insufficient expertise or staff capacity. Respondents see opportunities in automating routine work, improving peer review, supporting research-integrity checks, and making content easier to discover and access. Their concerns include low-quality AI-generated submissions, fabricated citations or data, undisclosed AI use, weakened peer review, misconduct, and loss of trust in scholarly communication. The report concludes that AI is already part of publishing practice, but confidence and governance have not kept pace. Its findings support the need for deliberate experimentation, stronger ethical frameworks, transparency, and investment in human expertise.</w:t>
      </w:r>
      <w:r/>
    </w:p>
    <w:p>
      <w:pPr>
        <w:pStyle w:val="ListNumber"/>
        <w:spacing w:line="240" w:lineRule="auto"/>
        <w:ind w:left="720"/>
      </w:pPr>
      <w:r/>
      <w:hyperlink r:id="rId11">
        <w:r>
          <w:rPr>
            <w:color w:val="0000EE"/>
            <w:u w:val="single"/>
          </w:rPr>
          <w:t>https://www.icmje.org/icmje-recommendations.pdf</w:t>
        </w:r>
      </w:hyperlink>
      <w:r>
        <w:t xml:space="preserve"> - The International Committee of Medical Journal Editors’ recommendations provide guidance for responsible conduct, reporting, editing, and publication of scholarly work in medical journals. The document addresses artificial intelligence at several stages of publication and emphasises that human authors remain responsible for the accuracy, integrity, and originality of submitted work. AI tools must not be listed as authors because they cannot accept the duties and accountability associated with authorship. Authors are expected to disclose whether and how they used AI, and to review generated material carefully for errors, bias, incompleteness, plagiarism, and inappropriate references. The recommendations give particular attention to confidentiality in peer review. Submitted manuscripts are privileged communications, and editors, reviewers, or publishers should not place them into AI systems unless confidentiality can be assured or the authors have explicitly permitted the use. Journals should establish policies covering AI use in review and make those policies known to authors, editors, and reviewers. Reviewers using AI must comply with journal rules, disclose its use where required, and check the validity of any output. Editors also retain responsibility for the accuracy of AI-assisted production and ancillary content. Overall, the recommendations connect transparency with human responsibility and protection of confidential material throughout the editorial process.</w:t>
      </w:r>
      <w:r/>
    </w:p>
    <w:p>
      <w:pPr>
        <w:pStyle w:val="ListNumber"/>
        <w:spacing w:line="240" w:lineRule="auto"/>
        <w:ind w:left="720"/>
      </w:pPr>
      <w:r/>
      <w:hyperlink r:id="rId12">
        <w:r>
          <w:rPr>
            <w:color w:val="0000EE"/>
            <w:u w:val="single"/>
          </w:rPr>
          <w:t>https://publicationethics.org/cope-position-statements/ai-author</w:t>
        </w:r>
      </w:hyperlink>
      <w:r>
        <w:t xml:space="preserve"> - The Committee on Publication Ethics position statement on artificial intelligence and authorship addresses how AI tools should be treated in scholarly writing. It explains that AI systems cannot be credited as authors because they cannot take responsibility for a manuscript, disclose competing interests, or manage copyright and licensing obligations. Human authors remain accountable for the work, including material produced with AI assistance. The statement calls for transparency when AI has contributed to manuscript writing, the creation of images or other graphical elements, or the collection and analysis of data. Authors should state how the tool was used and identify the tool in an appropriate part of the manuscript, such as the methods section or an equivalent disclosure area. The position is intended to help journals, authors, and publishers maintain clear responsibility and reliable attribution as AI becomes more common in research communication. It supports a distinction between AI as an aid to human work and a person who can fulfil the intellectual and ethical responsibilities of authorship. In the broader context of the supplied article, COPE’s guidance reinforces the principle that AI assistance does not transfer accountability away from people and that disclosure helps readers and editors understand the role of technology in producing scholarly work.</w:t>
      </w:r>
      <w:r/>
    </w:p>
    <w:p>
      <w:pPr>
        <w:pStyle w:val="ListNumber"/>
        <w:spacing w:line="240" w:lineRule="auto"/>
        <w:ind w:left="720"/>
      </w:pPr>
      <w:r/>
      <w:hyperlink r:id="rId13">
        <w:r>
          <w:rPr>
            <w:color w:val="0000EE"/>
            <w:u w:val="single"/>
          </w:rPr>
          <w:t>https://stm-assoc.org/document/recommendations-for-a-classification-of-ai-use-in-academic-manuscript-preparation/</w:t>
        </w:r>
      </w:hyperlink>
      <w:r>
        <w:t xml:space="preserve"> - STM’s recommendations propose a classification for describing ways artificial intelligence can assist in preparing academic manuscripts. The resource is designed to help publishers develop consistent policies about which AI-supported activities may be acceptable and what authors should disclose. Rather than treating AI use as a single undifferentiated practice, a classification can help distinguish different forms of assistance and make declarations more informative. This gives editors and publishers a basis for setting expectations that are understandable to authors, while helping readers interpret statements about AI involvement. The document is particularly relevant to manuscript preparation, where tools may support tasks that differ in scope and significance. Its purpose is practical: to provide a framework that publishing organisations can adapt when writing policies and deciding how AI use should be reported. The resource therefore complements guidance focused on human accountability and transparency by offering a structured way to identify and communicate the nature of AI assistance. In relation to the supplied article, it supports the recommendation that publishers move beyond broad prohibitions towards clear operational rules, with expectations that can be applied consistently across manuscript workflows.</w:t>
      </w:r>
      <w:r/>
    </w:p>
    <w:p>
      <w:pPr>
        <w:pStyle w:val="ListNumber"/>
        <w:spacing w:line="240" w:lineRule="auto"/>
        <w:ind w:left="720"/>
      </w:pPr>
      <w:r/>
      <w:hyperlink r:id="rId14">
        <w:r>
          <w:rPr>
            <w:color w:val="0000EE"/>
            <w:u w:val="single"/>
          </w:rPr>
          <w:t>https://stm-assoc.org/what-we-do/strategic-areas/research-integrity/integrity-hub/</w:t>
        </w:r>
      </w:hyperlink>
      <w:r>
        <w:t xml:space="preserve"> - STM describes its Integrity Hub as shared infrastructure intended to help publishers identify research-integrity concerns in manuscripts before publication. The service analyses patterns associated with paper mills and other potential violations of accepted research norms, providing publishers with screening capabilities and an early-warning function. It operates in a cloud-based environment and is designed to respect relevant legal requirements, data privacy, and competition rules. The platform can connect with third-party tools that publishers may choose to enable, making it modular rather than dependent on one screening method. STM presents the Hub as a way to support publishers of different kinds, save time and resources, and help protect the scholarly record. Its work includes technology, screening infrastructure, policies, and frameworks, reflecting that integrity protection involves more than automated detection alone. The resource is relevant to the supplied article’s discussion of AI’s dual role: technology can contribute to integrity risks, but screening systems can also help identify suspicious material. The Hub illustrates how publishers may use shared tools within controlled workflows, while leaving investigation and decisions about appropriate action to responsible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cholarlykitchen.sspnet.org/2026/11/04/from-ai-adoption-to-ai-practice-building-governed-ai-in-scholarly-publishing/" TargetMode="External"/><Relationship Id="rId10" Type="http://schemas.openxmlformats.org/officeDocument/2006/relationships/hyperlink" Target="https://scholarlykitchen.sspnet.org/2026/01/09/ai-in-scholarly-publishing-ssp-pulse-check-report/" TargetMode="External"/><Relationship Id="rId11" Type="http://schemas.openxmlformats.org/officeDocument/2006/relationships/hyperlink" Target="https://www.icmje.org/icmje-recommendations.pdf" TargetMode="External"/><Relationship Id="rId12" Type="http://schemas.openxmlformats.org/officeDocument/2006/relationships/hyperlink" Target="https://publicationethics.org/cope-position-statements/ai-author" TargetMode="External"/><Relationship Id="rId13" Type="http://schemas.openxmlformats.org/officeDocument/2006/relationships/hyperlink" Target="https://stm-assoc.org/document/recommendations-for-a-classification-of-ai-use-in-academic-manuscript-preparation/" TargetMode="External"/><Relationship Id="rId14" Type="http://schemas.openxmlformats.org/officeDocument/2006/relationships/hyperlink" Target="https://stm-assoc.org/what-we-do/strategic-areas/research-integrity/integrity-hub/"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