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Academic publishers face the harder task of making legacy archives accessible</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Accessibility in academic publishing is no longer a theoretical concern deferred to some future compliance project. It has become an operational test of whether publishers can actually maintain usable backlists, not just publish new material that passes a checklist. Balamuraly Kanthavelou, writing for The Scholarly Kitchen, argues that the real problem is not awareness of regulation but the difficulty of remediating decades of accumulated content at scale. That challenge comes into sharper focus against a backdrop in which the Council of the European Union says the European Accessibility Act became applicable on 28 June 2025, while the US Department of Justice has set phased compliance dates for state and local government web content under Title II of the Americans with Disabilities Act. The deadlines are real, but the harder question is what it takes to meet them across large scholarly catalogues.</w:t>
      </w:r>
      <w:r/>
    </w:p>
    <w:p>
      <w:r/>
      <w:r>
        <w:t>One reason publishers struggle is that they often cannot say with confidence how much of their archive is actually accessible. Kanthavelou points out that traditional audits tend to rely on manual review and sampling, which can expose isolated defects without revealing the scale of the broader problem. Research cited by Michigan State University suggests that the issue begins even earlier in the workflow: in a study of 541 ecology and evolution journals, nearly three-quarters did not explicitly ask authors to consider accessibility at submission. Where guidance did exist, it often focused narrowly on colour-blind-friendly figures, rather than the wider range of access needs faced by disabled readers. In other words, the sector is still trying to solve a back-end remediation problem that was never fully addressed at the front end.</w:t>
      </w:r>
      <w:r/>
    </w:p>
    <w:p>
      <w:r/>
      <w:r>
        <w:t>Legacy content is where the difficulty becomes most acute. Academic publishers have inherited archives built across multiple systems, file types and production eras, from PDF and XML to ePub, images and application files such as InDesign and Word. A research chapter examining 8,000 scholarly articles from major publishers, including Springer, Elsevier, ACM and Wiley, found that automated checks can identify many widespread accessibility problems, but that detailed assessment still requires human review. That finding aligns with the practical reality described by Kanthavelou: backfile remediation is expensive, particularly for journal content full of complex figures, multi-panel charts, equations and dense tables. For simple image descriptions, automation can help; for scientific material, it can easily produce output that exists technically but fails to communicate meaningfully to screen-reader users.</w:t>
      </w:r>
      <w:r/>
    </w:p>
    <w:p>
      <w:r/>
      <w:r>
        <w:t>That is where artificial intelligence enters the discussion, though not as a substitute for editorial judgment. Kanthavelou describes AI as useful for auditing archives, estimating the likely scope of remediation, normalising metadata and generating first-pass captions, transcripts and descriptions. The World Wide Web Consortium’s accessibility guidance supports that distinction by noting that different kinds of images call for different kinds of alternative text, and that complex diagrams or charts may require fuller explanations than a simple automated description can provide. The practical limit is especially clear with scientific and technical content, where accuracy matters as much as completeness. For that reason, the most credible remediation models use AI to move volume, then route uncertain or high-risk material to subject-matter experts. Industry groups such as the International Association of Scientific, Technical &amp; Medical Publishers have also assembled accessibility resources for scholarly publishers, reflecting a broader shift towards embedding accessibility into production rather than treating it as a one-off clean-up exercise.</w:t>
      </w:r>
      <w:r/>
    </w:p>
    <w:p>
      <w:r/>
      <w:r>
        <w:t>The same distinction between short-term compliance and long-term capability runs through the article’s conclusion. A publisher can clear a backlog for an audit and still leave the underlying workflow unchanged, which means the same gaps will reappear in future content. Kanthavelou argues that sustainable accessibility programmes track risk, progress and cost continuously, rather than only when a deadline looms or an audit forces the issue. That approach prioritises the highest-risk material first, builds in human review for technical content and treats metadata and structural consistency as essential rather than optional. The message is plain: accessibility at scale is not won by producing a compliant-looking archive once, but by building an operating model that can keep content usable over time.</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t xml:space="preserve">- Paragraph 2: </w:t>
      </w:r>
      <w:hyperlink r:id="rId10">
        <w:r>
          <w:rPr>
            <w:color w:val="0000EE"/>
            <w:u w:val="single"/>
          </w:rPr>
          <w:t>[2]</w:t>
        </w:r>
      </w:hyperlink>
      <w:r>
        <w:t xml:space="preserve">, </w:t>
      </w:r>
      <w:hyperlink r:id="rId13">
        <w:r>
          <w:rPr>
            <w:color w:val="0000EE"/>
            <w:u w:val="single"/>
          </w:rPr>
          <w:t>[3]</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9">
        <w:r>
          <w:rPr>
            <w:color w:val="0000EE"/>
            <w:u w:val="single"/>
          </w:rPr>
          <w:t>[1]</w:t>
        </w:r>
      </w:hyperlink>
      <w:r>
        <w:t xml:space="preserve">, </w:t>
      </w:r>
      <w:hyperlink r:id="rId15">
        <w:r>
          <w:rPr>
            <w:color w:val="0000EE"/>
            <w:u w:val="single"/>
          </w:rPr>
          <w:t>[7]</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https://scholarlykitchen.sspnet.org/2026/11/03/what-accessibility-at-scale-actually-requires-of-academic-publishers/</w:t>
        </w:r>
      </w:hyperlink>
      <w:r>
        <w:t xml:space="preserve"> - Please view link - unable to able to access data</w:t>
      </w:r>
      <w:r/>
    </w:p>
    <w:p>
      <w:pPr>
        <w:pStyle w:val="ListNumber"/>
        <w:spacing w:line="240" w:lineRule="auto"/>
        <w:ind w:left="720"/>
      </w:pPr>
      <w:r/>
      <w:hyperlink r:id="rId10">
        <w:r>
          <w:rPr>
            <w:color w:val="0000EE"/>
            <w:u w:val="single"/>
          </w:rPr>
          <w:t>https://link.springer.com/chapter/10.1007/978-3-031-62846-7_5</w:t>
        </w:r>
      </w:hyperlink>
      <w:r>
        <w:t xml:space="preserve"> - This research assesses the accessibility of scholarly PDFs held by major academic publishers, including Springer, Elsevier, ACM and Wiley. It examines documents for features such as alternative text, meaningful tags, table headers, language settings and navigation order, while also reviewing publishers’ manuscript-submission guidance. The researchers collected 8,000 articles, most published in 2023 or 2024, and found that automated checks can help identify widespread problems, although detailed evaluation still requires human review. The chapter offers recommendations for improving accessible PDF production and highlights gaps in publisher policies and document structure. It supports the article’s discussion of archival scale, inconsistent formats and the need for systematic assessment.</w:t>
      </w:r>
      <w:r/>
    </w:p>
    <w:p>
      <w:pPr>
        <w:pStyle w:val="ListNumber"/>
        <w:spacing w:line="240" w:lineRule="auto"/>
        <w:ind w:left="720"/>
      </w:pPr>
      <w:r/>
      <w:hyperlink r:id="rId13">
        <w:r>
          <w:rPr>
            <w:color w:val="0000EE"/>
            <w:u w:val="single"/>
          </w:rPr>
          <w:t>https://eeb.msu.edu/news/study-uncovers-critical-accessibility-gap-in-journals.aspx</w:t>
        </w:r>
      </w:hyperlink>
      <w:r>
        <w:t xml:space="preserve"> - Michigan State University reports on a study of accessibility policies in 541 ecology and evolution journals. Nearly three-quarters did not explicitly ask authors to consider accessibility when submitting manuscripts. Where guidance existed, it often concentrated on colour-blind-friendly figures rather than the wider range of access needs experienced by disabled readers. The researchers argue that insufficient policy leaves barriers in place for scientists who use assistive technology and limits their ability to review and use published research. The report calls attention to opportunities for journals and authors to improve practices. It directly supports the article’s statement about the proportion of journals lacking explicit submission-stage accessibility requirements.</w:t>
      </w:r>
      <w:r/>
    </w:p>
    <w:p>
      <w:pPr>
        <w:pStyle w:val="ListNumber"/>
        <w:spacing w:line="240" w:lineRule="auto"/>
        <w:ind w:left="720"/>
      </w:pPr>
      <w:r/>
      <w:hyperlink r:id="rId11">
        <w:r>
          <w:rPr>
            <w:color w:val="0000EE"/>
            <w:u w:val="single"/>
          </w:rPr>
          <w:t>https://www.ada.gov/notices/2024/03/08/web-rule/</w:t>
        </w:r>
      </w:hyperlink>
      <w:r>
        <w:t xml:space="preserve"> - The US Department of Justice explains its 2024 rule on web and mobile application accessibility for state and local governments under Title II of the Americans with Disabilities Act. The rule generally adopts WCAG 2.1 Level AA as the technical standard and covers content made available by public entities, including content supplied through third parties. Compliance dates depend on population: larger governments have until 26 April 2027, while smaller governments and special districts generally have until 26 April 2028. The explanation clarifies the rule’s scope and timeline, useful context for the article’s discussion of regulatory obligations. It concerns public-sector entities, not a universal deadline for every publisher.</w:t>
      </w:r>
      <w:r/>
    </w:p>
    <w:p>
      <w:pPr>
        <w:pStyle w:val="ListNumber"/>
        <w:spacing w:line="240" w:lineRule="auto"/>
        <w:ind w:left="720"/>
      </w:pPr>
      <w:r/>
      <w:hyperlink r:id="rId12">
        <w:r>
          <w:rPr>
            <w:color w:val="0000EE"/>
            <w:u w:val="single"/>
          </w:rPr>
          <w:t>https://www.consilium.europa.eu/en/policies/accessibility-goods-services/</w:t>
        </w:r>
      </w:hyperlink>
      <w:r>
        <w:t xml:space="preserve"> - The Council of the European Union summarises the European Accessibility Act and the separate public-sector web accessibility directive. The Act sets common minimum accessibility requirements for selected products and services, including e-books, e-commerce, electronic communications and audiovisual media services. It became applicable on 28 June 2025, with certain exemptions, including for some micro-enterprises providing services. The page explains the EU’s aim of reducing differences between national requirements while improving access for disabled and older people. This provides authoritative background for the article’s references to the European Accessibility Act, its implementation date and its relevance to digital publishing products and services.</w:t>
      </w:r>
      <w:r/>
    </w:p>
    <w:p>
      <w:pPr>
        <w:pStyle w:val="ListNumber"/>
        <w:spacing w:line="240" w:lineRule="auto"/>
        <w:ind w:left="720"/>
      </w:pPr>
      <w:r/>
      <w:hyperlink r:id="rId14">
        <w:r>
          <w:rPr>
            <w:color w:val="0000EE"/>
            <w:u w:val="single"/>
          </w:rPr>
          <w:t>https://www.w3.org/WAI/tutorials/images/</w:t>
        </w:r>
      </w:hyperlink>
      <w:r>
        <w:t xml:space="preserve"> - The World Wide Web Consortium’s Web Accessibility Initiative explains how to provide appropriate text alternatives for different types of images. Informative images need descriptions conveying essential information; decorative images should generally use an empty alternative; and functional images should describe what the control does. The guidance gives particular attention to complex images such as charts and diagrams, for which a complete text equivalent may be needed to communicate the data or detailed information. It also stresses that descriptions depend on context and purpose. This guidance supports the article’s distinction between straightforward automated descriptions and complex scientific figures that require accurate, meaningful explanations for screen-reader users.</w:t>
      </w:r>
      <w:r/>
    </w:p>
    <w:p>
      <w:pPr>
        <w:pStyle w:val="ListNumber"/>
        <w:spacing w:line="240" w:lineRule="auto"/>
        <w:ind w:left="720"/>
      </w:pPr>
      <w:r/>
      <w:hyperlink r:id="rId15">
        <w:r>
          <w:rPr>
            <w:color w:val="0000EE"/>
            <w:u w:val="single"/>
          </w:rPr>
          <w:t>https://stm-assoc.org/document/accessibility-resources-for-academic-publishers/</w:t>
        </w:r>
      </w:hyperlink>
      <w:r>
        <w:t xml:space="preserve"> - The International Association of Scientific, Technical and Medical Publishers presents an accessibility resource hub intended for scholarly publishers and others involved in research communication. The hub offers practical insights, tools and regulatory guidance to help organisations make content accessible from the outset. Its focus on incorporating accessibility into publishing practices aligns with the article’s recommendations to improve production workflows rather than treating remediation as a one-off exercise. The resource page also situates accessibility as part of equitable knowledge sharing and education. It supports the article’s reference to STM as an industry association publishers can consult for guidance, while complementing regulatory and technical resources on accessible publication formats.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cholarlykitchen.sspnet.org/2026/11/03/what-accessibility-at-scale-actually-requires-of-academic-publishers/" TargetMode="External"/><Relationship Id="rId10" Type="http://schemas.openxmlformats.org/officeDocument/2006/relationships/hyperlink" Target="https://link.springer.com/chapter/10.1007/978-3-031-62846-7_5" TargetMode="External"/><Relationship Id="rId11" Type="http://schemas.openxmlformats.org/officeDocument/2006/relationships/hyperlink" Target="https://www.ada.gov/notices/2024/03/08/web-rule/" TargetMode="External"/><Relationship Id="rId12" Type="http://schemas.openxmlformats.org/officeDocument/2006/relationships/hyperlink" Target="https://www.consilium.europa.eu/en/policies/accessibility-goods-services/" TargetMode="External"/><Relationship Id="rId13" Type="http://schemas.openxmlformats.org/officeDocument/2006/relationships/hyperlink" Target="https://eeb.msu.edu/news/study-uncovers-critical-accessibility-gap-in-journals.aspx" TargetMode="External"/><Relationship Id="rId14" Type="http://schemas.openxmlformats.org/officeDocument/2006/relationships/hyperlink" Target="https://www.w3.org/WAI/tutorials/images/" TargetMode="External"/><Relationship Id="rId15" Type="http://schemas.openxmlformats.org/officeDocument/2006/relationships/hyperlink" Target="https://stm-assoc.org/document/accessibility-resources-for-academic-publishers/"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