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Two of three AI paper explainers made claims unsupported by their sources</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 xml:space="preserve">Flashpapers, an AI-driven site that turns arXiv papers into interactive explainers, says its own experiment with three recent research papers exposed how easily a polished summary can drift away from the source text. In October, the publisher generated explainers for LatentLoop, Cross-Teacher Guarding, and Cortex, then checked each number, table reference and claim against the underlying PDFs before publication. According to the company, two of the explainers contained material that the papers themselves did not support, despite the pages looking authoritative to readers. </w:t>
      </w:r>
      <w:r/>
    </w:p>
    <w:p>
      <w:r/>
      <w:r>
        <w:t xml:space="preserve">The most serious problems appeared in the Cross-Teacher explainer. Flashpapers says the page attributed results to a 1.7-billion-parameter model in settings where the paper only reported figures for the 4-billion-parameter version, then framed those numbers as evidence of consistent gains across model sizes. It also attached conflict-rate statistics to the wrong figure and described an additional scoring step as though it introduced no extra work at test time, even though the paper places that cost in training. The underlying paper is about Cross-Teacher Guarding, a method designed to reduce interference between multiple teachers by using cross-domain critics, agreement-based feedback and gradient projection. </w:t>
      </w:r>
      <w:r/>
    </w:p>
    <w:p>
      <w:r/>
      <w:r>
        <w:t xml:space="preserve">LatentLoop had a different kind of error. The paper studies asymmetric compute allocation in looped mixture-of-experts systems and reports improved validation loss across fifteen configurations, but the savings headline is not a direct measurement: it comes from a fitted scaling-law estimate. Flashpapers says its explainer incorrectly presented that estimate as empirical and transformed a comparison of GPU hours into a claim of wall-clock speed-up. The paper’s own abstract makes clear that the 19.0 per cent compute saving is a prediction from the fit, not a measured runtime result. </w:t>
      </w:r>
      <w:r/>
    </w:p>
    <w:p>
      <w:r/>
      <w:r>
        <w:t xml:space="preserve">The Cortex explainer, by contrast, was not singled out for invented numbers in the same way, but it still sat within the broader problem Flashpapers is warning about: generated summaries can sound precise while quietly overstating what a paper has actually shown. Cortex focuses on preserving the gains an LLM gets from context after that context is removed, using prospective query generation and distillation into low-rank or structural updates. The paper reports results across five task families and models from 4 billion to 120 billion parameters, including a sequential-edit experiment in which Cortex-Structural recovers most of the context-induced gain while retaining nearly all of the original non-target performance. </w:t>
      </w:r>
      <w:r/>
    </w:p>
    <w:p>
      <w:r/>
      <w:r>
        <w:t xml:space="preserve">Flashpapers says the good news is that the headline numbers, formulas, most tables and author details were largely correct; the mistakes clustered in the very features readers are most likely to trust, such as interactive widgets and takeaway boxes. That concern is backed by broader research showing that multimodal systems often struggle more with charts than tables, and by work suggesting that domain-specific fine-tuning does not guarantee factual reliability. Flashpapers says it has now corrected the pages, added PDF checks for seeded explainers and introduced human approval before publication, a modest but telling reminder that fluent machine-written research summaries still need the same kind of verification as any other technical reporting. </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9">
        <w:r>
          <w:rPr>
            <w:color w:val="0000EE"/>
            <w:u w:val="single"/>
          </w:rPr>
          <w:t>[2]</w:t>
        </w:r>
      </w:hyperlink>
      <w:r>
        <w:t xml:space="preserve">, </w:t>
      </w:r>
      <w:hyperlink r:id="rId10">
        <w:r>
          <w:rPr>
            <w:color w:val="0000EE"/>
            <w:u w:val="single"/>
          </w:rPr>
          <w:t>[3]</w:t>
        </w:r>
      </w:hyperlink>
      <w:r>
        <w:t xml:space="preserve">- Paragraph 4: </w:t>
      </w:r>
      <w:hyperlink r:id="rId9">
        <w:r>
          <w:rPr>
            <w:color w:val="0000EE"/>
            <w:u w:val="single"/>
          </w:rPr>
          <w:t>[2]</w:t>
        </w:r>
      </w:hyperlink>
      <w:r>
        <w:t xml:space="preserve">, </w:t>
      </w:r>
      <w:hyperlink r:id="rId12">
        <w:r>
          <w:rPr>
            <w:color w:val="0000EE"/>
            <w:u w:val="single"/>
          </w:rPr>
          <w:t>[5]</w:t>
        </w:r>
      </w:hyperlink>
      <w:r>
        <w:t xml:space="preserve">- Paragraph 5: </w:t>
      </w:r>
      <w:hyperlink r:id="rId9">
        <w:r>
          <w:rPr>
            <w:color w:val="0000EE"/>
            <w:u w:val="single"/>
          </w:rPr>
          <w:t>[2]</w:t>
        </w:r>
      </w:hyperlink>
      <w:r>
        <w:t xml:space="preserve">, </w:t>
      </w:r>
      <w:hyperlink r:id="rId13">
        <w:r>
          <w:rPr>
            <w:color w:val="0000EE"/>
            <w:u w:val="single"/>
          </w:rPr>
          <w:t>[6]</w:t>
        </w:r>
      </w:hyperlink>
      <w:r>
        <w:t xml:space="preserve">, </w:t>
      </w:r>
      <w:hyperlink r:id="rId14">
        <w:r>
          <w:rPr>
            <w:color w:val="0000EE"/>
            <w:u w:val="single"/>
          </w:rPr>
          <w:t>[7]</w:t>
        </w:r>
      </w:hyperlink>
      <w:r/>
    </w:p>
    <w:p>
      <w:r/>
      <w:r>
        <w:t xml:space="preserve">Source: </w:t>
      </w:r>
      <w:hyperlink r:id="rId15">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https://dev.to/flashpapers/we-checked-three-llm-written-paper-explainers-against-the-pdfs-two-had-numbers-the-papers-never-233h</w:t>
        </w:r>
      </w:hyperlink>
      <w:r>
        <w:t xml:space="preserve"> - Please view link - unable to able to access data</w:t>
      </w:r>
      <w:r/>
    </w:p>
    <w:p>
      <w:pPr>
        <w:pStyle w:val="ListNumber"/>
        <w:spacing w:line="240" w:lineRule="auto"/>
        <w:ind w:left="720"/>
      </w:pPr>
      <w:r/>
      <w:hyperlink r:id="rId9">
        <w:r>
          <w:rPr>
            <w:color w:val="0000EE"/>
            <w:u w:val="single"/>
          </w:rPr>
          <w:t>https://dev.to/flashpapers/we-checked-three-llm-written-paper-explainers-against-the-pdfs-two-had-numbers-the-papers-never-233h</w:t>
        </w:r>
      </w:hyperlink>
      <w:r>
        <w:t xml:space="preserve"> - Flashpapers reports checking three AI-generated research explainers against their source papers and finding errors in two. The Cross-Teacher explainer presented results for a model size and experimental settings the paper did not report, misattributed statistics to the wrong figure, and described a training cost as absent at test time. The LatentLoop explainer called a scaling-law estimate an empirical measurement and converted a confounded GPU-hours comparison into claimed speed improvements. Other mistakes included an incorrect table reference and an unsupported explanation. The publisher says all three explainers were corrected and rechecked, and that future explainers will receive PDF checks and human approval before publication.</w:t>
      </w:r>
      <w:r/>
    </w:p>
    <w:p>
      <w:pPr>
        <w:pStyle w:val="ListNumber"/>
        <w:spacing w:line="240" w:lineRule="auto"/>
        <w:ind w:left="720"/>
      </w:pPr>
      <w:r/>
      <w:hyperlink r:id="rId10">
        <w:r>
          <w:rPr>
            <w:color w:val="0000EE"/>
            <w:u w:val="single"/>
          </w:rPr>
          <w:t>https://arxiv.org/abs/2610.19975</w:t>
        </w:r>
      </w:hyperlink>
      <w:r>
        <w:t xml:space="preserve"> - LatentLoop investigates how to allocate computation asymmetrically across visits in looped mixture-of-experts models. Its design compresses the sequence during the first visit, keeps full resolution during the second, and reallocates saved computation towards a wider hidden representation. The authors evaluate fifteen configurations, spanning models from 1.3 billion to 7 billion parameters, and report improved validation negative log-likelihood. At a fitted negative log-likelihood of 1.988, the paper predicts compute savings of 19.0 per cent against vanilla MoE and 7.9 per cent against a looped baseline. These savings are predictions from a scaling-law fit, not direct empirical measurements.</w:t>
      </w:r>
      <w:r/>
    </w:p>
    <w:p>
      <w:pPr>
        <w:pStyle w:val="ListNumber"/>
        <w:spacing w:line="240" w:lineRule="auto"/>
        <w:ind w:left="720"/>
      </w:pPr>
      <w:r/>
      <w:hyperlink r:id="rId11">
        <w:r>
          <w:rPr>
            <w:color w:val="0000EE"/>
            <w:u w:val="single"/>
          </w:rPr>
          <w:t>https://arxiv.org/abs/2610.13521</w:t>
        </w:r>
      </w:hyperlink>
      <w:r>
        <w:t xml:space="preserve"> - This paper proposes Cross-Teacher Guarding for multi-teacher on-policy distillation, a method intended to reduce conflicts when teachers with different expertise supervise a shared student model. It uses non-routed teachers as cross-domain critics, applies teacher agreement to adjust token-level feedback, and projects gradients to constrain potentially conflicting updates. The authors evaluate the method in multiple settings, including high-conflict and three-domain scenarios, and report reduced degradation in disadvantaged domains alongside improvements in overall performance. The paper’s experiments and figures are the primary source for checking which model sizes and configurations were tested, what numerical results were reported, and where those results appear.</w:t>
      </w:r>
      <w:r/>
    </w:p>
    <w:p>
      <w:pPr>
        <w:pStyle w:val="ListNumber"/>
        <w:spacing w:line="240" w:lineRule="auto"/>
        <w:ind w:left="720"/>
      </w:pPr>
      <w:r/>
      <w:hyperlink r:id="rId12">
        <w:r>
          <w:rPr>
            <w:color w:val="0000EE"/>
            <w:u w:val="single"/>
          </w:rPr>
          <w:t>https://arxiv.org/abs/2610.20399</w:t>
        </w:r>
      </w:hyperlink>
      <w:r>
        <w:t xml:space="preserve"> - Cortex studies how to preserve benefits that large language models gain from supplied context even after that context is removed. The authors formulate memory consolidation as internalising context-induced improvements while retaining other capabilities. Cortex generates prospective queries and distils context-conditioned responses into mergeable low-rank or structural model updates. The paper evaluates five task families, including single, batch and sequential updates, across models ranging from 4 billion to 120 billion parameters. In one reported experiment, after fifty sequential factual edits to a 14-billion-parameter model, Cortex-Structural recovers 88.9 per cent of the context-induced gain while retaining 99.8 per cent of original non-target performance.</w:t>
      </w:r>
      <w:r/>
    </w:p>
    <w:p>
      <w:pPr>
        <w:pStyle w:val="ListNumber"/>
        <w:spacing w:line="240" w:lineRule="auto"/>
        <w:ind w:left="720"/>
      </w:pPr>
      <w:r/>
      <w:hyperlink r:id="rId13">
        <w:r>
          <w:rPr>
            <w:color w:val="0000EE"/>
            <w:u w:val="single"/>
          </w:rPr>
          <w:t>https://ojs.aaai.org/index.php/AAAI/article/view/40361</w:t>
        </w:r>
      </w:hyperlink>
      <w:r>
        <w:t xml:space="preserve"> - This study examines whether multimodal large language models can verify scientific claims using evidence presented in tables and charts. The researchers adapt two scientific-paper datasets for multimodal claim verification and evaluate twelve models. Their results indicate that the tested models perform better when evidence is presented in tables and struggle more with charts. Human evaluations show strong performance across both formats, unlike the models. The authors also find that smaller multimodal models display weak correspondence between their table-based and chart-based performance, suggesting limited generalisation across evidence formats. The findings support careful checking of generated charts and figure-based claims rather than assuming they faithfully reflect papers.</w:t>
      </w:r>
      <w:r/>
    </w:p>
    <w:p>
      <w:pPr>
        <w:pStyle w:val="ListNumber"/>
        <w:spacing w:line="240" w:lineRule="auto"/>
        <w:ind w:left="720"/>
      </w:pPr>
      <w:r/>
      <w:hyperlink r:id="rId14">
        <w:r>
          <w:rPr>
            <w:color w:val="0000EE"/>
            <w:u w:val="single"/>
          </w:rPr>
          <w:t>https://aclanthology.org/2026.emnlp-main.610/</w:t>
        </w:r>
      </w:hyperlink>
      <w:r>
        <w:t xml:space="preserve"> - This research evaluates whether fine-tuning on scientific material affects factual reliability, using a multi-domain assessment of large language models. It addresses limitations in earlier work, which often focused on biomedical text and treated hallucination as a simple correct-or-incorrect outcome. The study examines scientifically fine-tuned models and investigates factual errors across domains. Its authors argue that the results challenge assumptions about domain-specific fine-tuning improving factuality and identify a need for stronger verification infrastructure for scientific content. This source provides wider context for the article’s central warning: fluent, specialised or authoritative-looking generated explanations still require their claims to be checked against reliable source material.</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dev.to/flashpapers/we-checked-three-llm-written-paper-explainers-against-the-pdfs-two-had-numbers-the-papers-never-233h" TargetMode="External"/><Relationship Id="rId10" Type="http://schemas.openxmlformats.org/officeDocument/2006/relationships/hyperlink" Target="https://arxiv.org/abs/2610.19975" TargetMode="External"/><Relationship Id="rId11" Type="http://schemas.openxmlformats.org/officeDocument/2006/relationships/hyperlink" Target="https://arxiv.org/abs/2610.13521" TargetMode="External"/><Relationship Id="rId12" Type="http://schemas.openxmlformats.org/officeDocument/2006/relationships/hyperlink" Target="https://arxiv.org/abs/2610.20399" TargetMode="External"/><Relationship Id="rId13" Type="http://schemas.openxmlformats.org/officeDocument/2006/relationships/hyperlink" Target="https://ojs.aaai.org/index.php/AAAI/article/view/40361" TargetMode="External"/><Relationship Id="rId14" Type="http://schemas.openxmlformats.org/officeDocument/2006/relationships/hyperlink" Target="https://aclanthology.org/2026.emnlp-main.610/" TargetMode="External"/><Relationship Id="rId15" Type="http://schemas.openxmlformats.org/officeDocument/2006/relationships/hyperlink" Target="https://www.noahwir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